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ZL.2012.00013 vom 29. Mai 2013</w:t>
      </w:r>
    </w:p>
    <w:p>
      <w:r>
        <w:t>ZH Sozialversicherungsgericht, 2013-05-29, DE</w:t>
      </w:r>
    </w:p>
    <w:p>
      <w:r>
        <w:rPr>
          <w:b/>
        </w:rPr>
        <w:t xml:space="preserve">Quelle: </w:t>
      </w:r>
      <w:r>
        <w:t>https://mcp.opencaselaw.ch/entscheid/zh_sozialversicherungsgericht_ZL.2012.00013</w:t>
      </w:r>
    </w:p>
    <w:p>
      <w:r>
        <w:t>FR: ZH_SOZIALVERSICHERUNGSGERICHT ZL.2012.00013 du 29 mai 2013</w:t>
      </w:r>
    </w:p>
    <w:p>
      <w:r>
        <w:t>IT: ZH_SOZIALVERSICHERUNGSGERICHT ZL.2012.00013 del 29 maggio 2013</w:t>
      </w:r>
    </w:p>
    <w:p>
      <w:pPr>
        <w:pStyle w:val="Heading2"/>
      </w:pPr>
      <w:r>
        <w:t>Erwägungen</w:t>
      </w:r>
    </w:p>
    <w:p>
      <w:r>
        <w:rPr>
          <w:b/>
        </w:rPr>
        <w:t>E. 3</w:t>
      </w:r>
    </w:p>
    <w:p>
      <w:r>
        <w:t>3.1Â Â Â Â  Nach hÃ¶chstrichterlicher Rechtsprechung sind Naturalleistungen in Form von Kost und Logis und ein allenfalls zusÃ¤tzlich ausgerichtetes Taschengeld, welche eine im Konkubinat lebende Person ihrer Partnerin oder ihrem Partner als Ausgleich fÃ¼r die FÃ¼hrung des gemeinsamen Haushaltes zukommen lÃ¤sst, im Rahmen der ErgÃ¤nzungsleistungsberechnung zu den anrechenbaren Einnahmen zu zÃ¤hlen (BGE 127 V 245 f. Erw. 2b). Voraussetzung ist dabei, dass diejenige Person, von der man annimmt, dass sie Unterhaltsleistungen erbringt, wirtschaftlich dazu in der Lage ist, eine entsprechende EntschÃ¤digung zu leisten. Dies ist jedenfalls dann ausgeschlossen, wenn ein Mann und eine Frau ungenÃ¼gende oder zumindest bescheidene EinkÃ¼nfte zusammenlegen, um sie zu ergÃ¤nzen (BGE 127 V 245 f. Erw. 2b; ZAK 1974 S. 554).</w:t>
      </w:r>
    </w:p>
    <w:p>
      <w:r>
        <w:t>Â Â Â Â Â Â Â Â  Aufgrund der vorliegenden MietvertrÃ¤ge (Urk. 12/4-6) ist erstellt und blieb im Ãbrigen unbestritten, dass die BeschwerdefÃ¼hrerin seit April 2005 mit Y.___ in einer gemeinsamen Wohnung lebt, weshalb die Beschwerdegegnerin zutreffend vom Bestand eines Konkubinat ausging. Nach dem Gesagten ist der BeschwerdefÃ¼hrerin vorliegend als Ausgleich fÃ¼r die FÃ¼hrung des gemeinsamen Haushaltes ein Naturallohn als Einnahme anzurechnen. Entgegen den Vorbringen der BeschwerdefÃ¼hrerin steht Art. 14a ELV der Anrechnung eines hypothetischen Einkommens nicht entgegen, denn grundsÃ¤tzlich sind den Invaliden alle Erwerbseinkommen anzurechnen; nur fÃ¼r Teilinvalide sieht Art. 14a ELV Ausnahmen oder Privilegierungen vor, welche hier angesichts des Bezuges einer ganzen Invalidenrente von vornherein ausser Betracht fallen. Auch ergibt sich kein Widerspruch zur Regelung von Art. 11 ELG, den diese sieht in Abs. 1 lit. a ausdrÃ¼cklich die Anrechnung von ErwerbseinkÃ¼nften in Geld oder Naturalien vor.</w:t>
      </w:r>
    </w:p>
    <w:p>
      <w:r>
        <w:t>Â Â Â Â Â Â Â Â  Sodann geht aus dem Lohnausweis von Y.___ fÃ¼r das Jahr 2010 ein Bruttojahreslohn von Fr. 97Â500.-- hervor (Urk. 6/4) und der separaten Berechnung Ã¼ber einen allfÃ¤lligen Anspruch fÃ¼r Zusatzleistungen fÃ¼r Y.___ ist ein EinnahmenÃ¼berschuss von Fr. 23Â770.-- pro Jahr beziehungsweise von Fr. 1Â980.-- monatlich zu entnehmen (Urk. 6/4). Bei dieser Aktenlage ist die - im Ãbrigen unbestrittene - wirtschaftliche LeistungsfÃ¤higkeit des Konkubinatspartners der BeschwerdefÃ¼hrerin zu bejahen.</w:t>
      </w:r>
    </w:p>
    <w:p>
      <w:r>
        <w:t>3.2Â Â Â Â  FÃ¼r die Bemessung des Naturaleinkommens wird Art. 11 der Verordnung Ã¼ber die Alters- und Hinterlassenenversicherung herangezogen. Dieses betrÃ¤gt gemÃ¤ss WEL Rz 3415.02 maximal Fr. 11'880.-- (Fr. 33 x 30 x 12), wobei hievon jedenfalls der Freibetrag von Fr. 1'000.-- in Abzug zu bringen ist, so dass hier bei der privilegierten Anrechnung von lediglich 2/3 (Art. 11 Abs. 1 lit. a ELG) grundsÃ¤tzlich von einem hypothetischen Einkommen von Fr. 7'253.-- ausgegangen werden darf (vgl. Formel in Carigiet, S. 149). Dabei ist der Wert eines anders gearteten Naturaleinkommens von Fall zu Fall den UmstÃ¤nden entsprechend von der EL-Stelle zu schÃ¤tzen (WEL Rz 3415.05). Der Mithilfe und UnterstÃ¼tzung des Partners ist mit einer Reduktion des Einkommens Rechnung zu tragen, das von der Beschwerdegegnerin nach pflichtgemÃ¤ssem Ermessen zu bemessen ist.</w:t>
      </w:r>
    </w:p>
    <w:p>
      <w:r>
        <w:t>Â Â Â Â Â Â Â Â  Bei der Bemessung des anzurechnenden Haushaltsbeitrags fallen vorliegend der InvaliditÃ¤tsgrad der BeschwerdefÃ¼hrerin von 100 % (Urk. 12/8/22) ins Gewicht und die Diagnosen einer emotional instabilen PersÃ¶nlichkeitsstÃ¶rung, eines Verdachts auf affektive StÃ¶rung, einer Hyperhidrosis und eines Cannabinoid-AbhÃ¤ngigkeitssyndroms (Urk. 12/49 S. 9 Ziff. 6.1), woraus aus fachÃ¤rztlicher Sicht eine volle ArbeitsunfÃ¤higkeit in angestammter TÃ¤tigkeit als Postbeamtin, jedoch keine EinschrÃ¤nkung der ArbeitstÃ¤tigkeit im Haushalt resultiere (Urk. 12/49 S. 11 Ziff. 6.2). Aus somatischer Sicht liegt vermutlich ein lumboradikulÃ¤res Reiz- und Ausfallsyndrom bei bekannter Diskushernie L5/S1 und ein Sakroiliakalsyndrom rechts vor (Urk. 12/49 S. 9 Ziff. 6.1, Urk. 12/50 S. 3). Zu berÃ¼cksichtigen ist ferner die eigene Aussage der BeschwerdefÃ¼hrerin, wonach sie zwar den Haushalt fÃ¼hre, aber schwere Sachen, wie Fenster putzen, lÃ¤ngere Zeit bÃ¼geln und den MÃ¼llsack rausbringen, nicht erledigen kÃ¶nne (Urk. 6/6). Mit Blick darauf sind bezÃ¼glich der SelbststÃ¤ndigkeit der BeschwerdefÃ¼hrerin gewisse EinschrÃ¤nkungen vorhanden, welche sich auch bei der Haushaltarbeit niederschlagen. Diesem Umstand trug die Beschwerdegegnerin mit der Festsetzung eines von der BeschwerdefÃ¼hrerin erledigten Anteils der Haushaltarbeit von 80 % angemessen Rechnung.</w:t>
      </w:r>
    </w:p>
    <w:p>
      <w:r>
        <w:t>Â Â Â Â Â Â Â Â  Der gemÃ¤ss SKOS-Richtlinie statt gemÃ¤ss Art. 11 AHVV berechnete Haus-haltsbeitrag von Fr. 408.85 monatlich beziehungsweise Fr. 4Â906.20 jÃ¤hrlich liegt noch im Bereich des maximal anrechenbaren Naturaleinkommens (7Â253.-- x 0,8 = Fr. 5Â802.40) und ist daher nicht zu beanstanden, zumal eine erhebliche Abweichung vom privilegierten Pauschalbetrag gemÃ¤ss Art. 11 AHVV hier nicht angezeigt erscheint.</w:t>
      </w:r>
    </w:p>
    <w:p>
      <w:r>
        <w:t>4.Â Â Â Â Â Â  Zusammenfassend erweist sich der angefochtene Einspracheentscheid als rechtens,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Stephan KÃ¼bler</w:t>
      </w:r>
    </w:p>
    <w:p>
      <w:r>
        <w:t>- Gemeindeverwaltung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