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ZL.2011.00048 vom 26. April 2012</w:t>
      </w:r>
    </w:p>
    <w:p>
      <w:r>
        <w:t>ZH Sozialversicherungsgericht, 2012-04-26, DE</w:t>
      </w:r>
    </w:p>
    <w:p>
      <w:r>
        <w:rPr>
          <w:b/>
        </w:rPr>
        <w:t xml:space="preserve">Quelle: </w:t>
      </w:r>
      <w:r>
        <w:t>https://mcp.opencaselaw.ch/entscheid/zh_sozialversicherungsgericht_ZL.2011.00048</w:t>
      </w:r>
    </w:p>
    <w:p>
      <w:r>
        <w:t>FR: ZH_SOZIALVERSICHERUNGSGERICHT ZL.2011.00048 du 26 avril 2012</w:t>
      </w:r>
    </w:p>
    <w:p>
      <w:r>
        <w:t>IT: ZH_SOZIALVERSICHERUNGSGERICHT ZL.2011.00048 del 26 aprile 2012</w:t>
      </w:r>
    </w:p>
    <w:p>
      <w:pPr>
        <w:pStyle w:val="Heading2"/>
      </w:pPr>
      <w:r>
        <w:t>Erwägungen</w:t>
      </w:r>
    </w:p>
    <w:p>
      <w:r>
        <w:rPr>
          <w:b/>
        </w:rPr>
        <w:t>E. 1</w:t>
      </w:r>
    </w:p>
    <w:p>
      <w:r>
        <w:t>1.1Â Â Â Â  X.___, geboren 1944, bezieht eine Altersrente der AHV. Auf sein Gesuch vom 31. Oktober 2007 (Urk. 9/10) hin richtete seine damalige Wohnsitzgemeinde Z.___ Zusatzleistungen aus, zuletzt ab 1. Januar 2010 in der HÃ¶he von Fr. 1'920.-- pro Monat (ErgÃ¤nzungsleistungen, Beihilfen, GemeindezuschÃ¼sse und MietzinszuschÃ¼sse, Urk. 9/3). Mit VerfÃ¼gung vom 5. Januar 2010 (Urk. 9/2) stellte die Gemeinde Z.___ die Auszahlung von Zusatzleistungen infolge Wegzugs aus der Gemeinde per 1. Februar 2010 ein.</w:t>
      </w:r>
    </w:p>
    <w:p>
      <w:r>
        <w:t>1.2Â Â Â Â  Per 1. Februar 2010 meldete sich der Versicherte in seiner neuen Wohngemeinde Y.___ an (Urk. 9/244). Die Stadt Y.___, DurchfÃ¼hrungsstelle fÃ¼r Zusatzleistungen zur AHV/IV (nachfolgend: DurchfÃ¼hrungsstelle), sprach ihm mit VerfÃ¼gung vom 22. Juni 2010 (Urk. 9/259) ab 1. Februar 2010 Zusatzleistungen in der HÃ¶he von monatlich Fr. 1'313.-- (ErgÃ¤nzungsleistungen und Beihilfen) zu mit dem Vermerk, dass die VerfÃ¼gung als Provisorium gelte und unter anderem weitere - einzeln genannte - Angaben zu machen seien. Hiergegen erhob der Versicherte am 27. Juli 2010 (Urk. 9/228/2) Einsprache und bemÃ¤ngelte unter anderem verschiedene Berechnungsgrundlagen. In der Folge reichte er verschiedene Unterlagen und Stellungnahmen ein (Urk. 9/179-191).</w:t>
      </w:r>
    </w:p>
    <w:p>
      <w:r>
        <w:t>Â Â Â Â Â Â Â Â Â  Am 24. Mai 2011 erliess die DurchfÃ¼hrungsstelle drei mit ÂVerfÃ¼gungÂ betitelte Entscheide, mit welchen sie die Auszahlungen der Zusatzleistungen ab 1. Februar 2010 (Urk. 9/178) beziehungsweise 1. Januar 2011 (Urk. 9/177) einstellte und die seit 1. Februar 2010 ausgerichteten Leistungen in der HÃ¶he von Fr. 22'009.-- (ErgÃ¤nzungsleistungen, Beihilfen, Krankheitskosten) zurÃ¼ckforderte (Urk. 9/176). Am 30. Mai 2011 (Urk. 9/175 = Urk. 2) erliess sie sodann einen Einspracheentscheid, womit sie dem Antrag auf Anrechnung eines hÃ¶heren Mietzinses folgte, die angefochtene VerfÃ¼gung vom 22. Juni 2010 indes aufgrund neu vorliegender Tatsachen durch Âdie definitive VerfÃ¼gung vom 24. Mai 2011Â ersetzte und zur RÃ¼ckforderung zu viel ausgerichteter Zusatzleistungen auf die ergangene separate VerfÃ¼gung verwies (S. 5, Dispositiv Ziff. I.).</w:t>
      </w:r>
    </w:p>
    <w:p>
      <w:r>
        <w:t>2.Â Â Â Â Â Â  Gegen den Einspracheentscheid vom 30. Mai 2011 (Urk. 2) erhob der Versicherte mit Eingabe vom 29. Juni 2011 (Urk. 1/1-2) sowie ErgÃ¤nzung vom 9. Juli 2011 (Urk. 5) Beschwerde und ersuchte - unter Hinweis auf abweichende Berechnungsgrundlagen - sinngemÃ¤ss um Zusprache von ErgÃ¤nzungsleistungen (ab Juni 2011 im Betrag von Fr. 1'363.--, Urk. 1/1 S. 3 Ziff. 1) sowie um Aufhebung des ÂZahlungsstoppsÂ (Urk. 1/1 S. 7 Ziff. 1.3). Die DurchfÃ¼hrungsstelle beantragte am 12. August 2011 (Urk. 8) die Abweisung der Beschwerde (S. 10).</w:t>
      </w:r>
    </w:p>
    <w:p>
      <w:r>
        <w:t>Â Â Â Â Â Â Â Â Â  Mit VerfÃ¼gung vom 16. September 2011 (Urk. 14) wies das Gericht das vom Versicherten am 15. September 2011 (Urk. 12) replicando gestellte Gesuch um Anordnung vorsorglicher Massnahmen (Weiterausrichtung der Zusatzleistungen) ab.</w:t>
      </w:r>
    </w:p>
    <w:p>
      <w:r>
        <w:t>Â Â Â Â Â Â Â Â Â  Nach einer weiteren Eingabe des Versicherten vom 21. September 2011 (Urk. 17) legitimierte sich am 26. September 2011 (Urk. 18) Rechtsanwalt Dr. Valentin Landmann als dessen Rechtsvertreter und beantragte seine Bestellung als unentgeltlicher Rechtsbeistand. Die DurchfÃ¼hrungsstelle reichte derweil innert Frist keine Duplik ein, worauf dem Versicherten mit VerfÃ¼gung vom 3. November 2011 (Urk. 24) antragsgemÃ¤ss (Urk. 21) Gelegenheit zu einer erneuten Stellungnahme gegeben wurde, welche am 17. November 2011 (Urk. 27) eingereicht wurde. Mit VerfÃ¼gung vom 8. Dezember 2011 (Urk. 34) wurde dem Versicherten Rechtsanwalt Dr. Valentin Landmann als unentgeltlicher Rechtvertreter ab Gesuchsdatum bestellt. Nachdem die DurchfÃ¼hrungsstelle sich nicht mehr hatte vernehmen lassen, folgte am 17. Januar 2012 (Urk. 36) die entsprechende Mitteilung an den Versicherten.</w:t>
      </w:r>
    </w:p>
    <w:p>
      <w:r>
        <w:t>Das Gericht zieht in ErwÃ¤gung:</w:t>
      </w:r>
    </w:p>
    <w:p>
      <w:r>
        <w:rPr>
          <w:b/>
        </w:rPr>
        <w:t>E. 1.1</w:t>
      </w:r>
    </w:p>
    <w:p>
      <w:r>
        <w:t>1.1.1Â Â  In formeller Hinsicht ist festzuhalten, dass die Beschwerdegegnerin mit VerfÃ¼gung vom 22. Juni 2010 (Urk. 9/259) lediglich provisorisch ab 1. Februar 2010 Leistungen zugesprochen hat unter dem Hinweis auf eine ÃberprÃ¼fung der Sachlage nach dem Eingang von weiteren Unterlagen. Auf entsprechende Einsprache des BeschwerdefÃ¼hrers vom 27. Juli 2010 (Urk. 9/228/2) hin wÃ¤re damit ein Entscheid betreffend die provisorische VerfÃ¼gung zu erlassen gewesen (Art. 52 des Bundesgesetzes Ã¼ber den Allgemeinen Teil des Sozialversicherungsrechts, ATSG). Dass die Beschwerdegegnerin stattdessen die Auflage der weiteren notwendigen Unterlagen abgewartet, hernach definitive VerfÃ¼gungen erlassen (Urk. 9/177-178) und diese mittels Einspracheentscheid (Urk. 2) als massgebend bezeichnet hat, entspricht nicht dem gesetzlich vorgesehenen Ablauf. Denn damit befand die Beschwerdegegnerin Ã¼ber eine Frage (definitiver Anspruch), die nicht Gegenstand der angefochtenen VerfÃ¼gung (provisorischer Anspruch) gebildet hatte.</w:t>
      </w:r>
    </w:p>
    <w:p>
      <w:r>
        <w:t>1.1.2Â Â  Eine Aufhebung des Einspracheentscheids zum Neuentscheid Ã¼ber die Einsprache vom 27. Juli 2010 gegen die provisorische VerfÃ¼gung vom 22. Juni 2010 sowie die Ãberweisung der Akten an die Beschwerdegegnerin zur Anhandnahme der sinngemÃ¤ssen Einsprache gegen die definitiven VerfÃ¼gungen vom 24. Mai 2011 (Urk. 9/176-178) wÃ¼rde indes zu einem formalistischen Leerlauf fÃ¼hren:</w:t>
      </w:r>
    </w:p>
    <w:p>
      <w:r>
        <w:t>Â Â Â Â Â Â Â Â Â  Relevant ist vorliegend vorweg die materielle Rechtslage sowie die KlÃ¤rung der Folgen des Umstandes, dass die definitiven Erhebungen der Beschwerdegegnerin den provisorischen nicht entsprechen. Der BeschwerdefÃ¼hrer erhob denn auch gegen die provisorische VerfÃ¼gung vom 22. Juni 2010 durchwegs materielle Einwendungen und konnte sich sowohl im Einsprache- wie auch im vorliegenden Gerichtsverfahren ausfÃ¼hrlich und umfassend Ã¤ussern.</w:t>
      </w:r>
    </w:p>
    <w:p>
      <w:r>
        <w:t>Â Â Â Â Â Â Â Â Â  Angesichts dieser UmstÃ¤nde rechtfertigt es sich, umfassend auf die Beschwerde einzutreten und Ã¼ber die AnsprÃ¼che des BeschwerdefÃ¼hrers sowie eine allfÃ¤llige RÃ¼ckforderung zu entscheiden. Dies gilt umso mehr, als der BeschwerdefÃ¼hrer (diesbezÃ¼glich) keine Verletzung des rechtlichen GehÃ¶rs geltend machte und auch nicht beantragte, in Bezug auf seine definitiven AnsprÃ¼che sowie die RÃ¼ckforderung sei vorerst ein Einspracheverfahren durchzufÃ¼hren. Selbiges wÃ¼rde angesichts der klaren Positionen der Parteien fÃ¼rwahr keinen Sinn machen.</w:t>
      </w:r>
    </w:p>
    <w:p>
      <w:r>
        <w:rPr>
          <w:b/>
        </w:rPr>
        <w:t>E. 1.2</w:t>
      </w:r>
    </w:p>
    <w:p>
      <w:r>
        <w:t>1.2.1Â Â  Der BeschwerdefÃ¼hrer erhob die RÃ¼ge der Verletzung des rechtlichen GehÃ¶rs einzig mit der BegrÃ¼ndung, die Beschwerdegegnerin hÃ¤tte ihn gestÃ¼tzt auf Art. 12 Abs. 2 des Verordnung Ã¼ber den Allgemeinen Teil des Sozialversicherungsrechts (ATSV) vor Erlass der EinstellungsverfÃ¼gung darauf hinweisen mÃ¼ssen, dass sie eine AbÃ¤nderung der VerfÃ¼gung zu seinen Ungunsten beabsichtige, und ihm Gelegenheit zum EinspracherÃ¼ckzug einrÃ¤umen mÃ¼ssen (Urk. 27 S. 5 Ziff. 8).</w:t>
      </w:r>
    </w:p>
    <w:p>
      <w:r>
        <w:t>1.2.2Â Â  Hierzu ist festzuhalten, dass Gegenstand der angefochtenen VerfÃ¼gung vom 22. Juni 2010 (Urk. 9/259) einzig die provisorische Ausrichtung von Zusatzleistungen war. Den Akten ist zu entnehmen, dass die Beschwerdegegnerin zum Zeitpunkt der provisorischen Leistungszusprache der Ansicht war, noch nicht Ã¼ber die zur Leistungsbeurteilung notwendigen Angaben zu verfÃ¼gen. In diesem Sinne kam sie dem BeschwerdefÃ¼hrer entgegen, als sie ihm - obwohl Unterlagen fehlten und er einen Anspruch noch nicht nachgewiesen hatte - bereits Leistungen ausrichtete. Dies allerdings unter dem Vorbehalt einer neuen ÃberprÃ¼fung nach Eingang der ausstehenden Akten.</w:t>
      </w:r>
    </w:p>
    <w:p>
      <w:r>
        <w:t>Â Â Â Â Â Â Â Â Â  Ãber den definitiven Anspruch des BeschwerdefÃ¼hrers ab 1. Februar 2010 hatte die Beschwerdegegnerin demgemÃ¤ss gar nicht verfÃ¼gt, weshalb sie auch nicht gehalten war, den BeschwerdefÃ¼hrer Ã¼ber eine allfÃ¤llige Schlechterstellung zu informieren und ihm Gelegenheit zum RÃ¼ckzug der Einsprache zu geben. Denn die Einsprache bezog sich von vorneherein lediglich auf die provisorische Leistungsausrichtung und nicht auf die definitiven AnsprÃ¼che des BeschwerdefÃ¼hrers, weshalb ein RÃ¼ckzug der Einsprache die Beschwerdegegnerin nicht davon entbunden hÃ¤tte, den Leistungsanspruch ab 1. Februar 2010 nach Eingang der Akten neu zu beurteilen.</w:t>
      </w:r>
    </w:p>
    <w:p>
      <w:r>
        <w:t>1.2.3Â Â  Zur ZulÃ¤ssigkeit der provisorischen Leistungsausrichtung an sich hat sich das Bundesgericht namentlich im Urteil 9C_999/2009 vom 7. Juni 2010 (publiziert in SVR 8-9/2011 EL Nr. 7 S. 21 ff.) geÃ¤ussert und festgehalten, dass eine RÃ¼ckforderung nach Kenntnisnahme der anspruchsrelevanten Fakten gar nach Ablauf der VerjÃ¤hrungsfrist durchgesetzt werden kann, wenn diese im Grundsatz rechtzeitig angezeigt wurde (E. 6.2). Vorliegend ist die VerjÃ¤hrungsfrist unstreitig eingehalten, und es steht mithin fest, dass die Beschwerdegegnerin im Grundsatz berechtigt war, auf ihre provisorische Leistungszusprache zurÃ¼ckzukommen.</w:t>
      </w:r>
    </w:p>
    <w:p>
      <w:r>
        <w:t>1.2.4Â Â Â Â Â Â Â Â Â  Zusammenfassend ist festzuhalten, dass die Beschwerdegegnerin Ã¼berhaupt legitimiert war, provisorische Leistungen unter dem sinngemÃ¤ssen Vorbehalt der RÃ¼ckforderung auszurichten und keine GehÃ¶rsverletzung beging, als sie die definitiven Leistungen des BeschwerdefÃ¼hrers ohne Androhung einer Schlechterstellung festlegte.</w:t>
      </w:r>
    </w:p>
    <w:p>
      <w:r>
        <w:rPr>
          <w:b/>
        </w:rPr>
        <w:t>E. 2</w:t>
      </w:r>
    </w:p>
    <w:p>
      <w:r>
        <w:t>2.1Â Â Â Â  Der Bund und die Kantone gewÃ¤hren Personen, welche die gesetzlichen Voraussetzungen nach Art. 4-6 des Bundesgesetzes Ã¼ber die ErgÃ¤nzungsleistungen zur Alters-, Hinterlassenen- und Invalidenversicherung (ELG) erfÃ¼llen, Zusatzleistungen zur Deckung ihres Existenzbedarfs (Art. 2 Abs. 1 ELG; Â§Â§ 1, 13, 15 und 20 Abs. 1 des Gesetzes des Kantons ZÃ¼rich Ã¼ber die Zusatzleistungen zur Alters-, Hinterlassenen- und Invalidenversicherung, ZLG, in den seit 1. Januar 2008 gÃ¼ltigen Fassungen). Die jÃ¤hrliche ErgÃ¤nzungsleistung entspricht dem Betrag, um den die anerkannten Ausgaben die anrechenbaren Einnahmen Ã¼bersteigen (Art. 9 Abs. 1 ELG).</w:t>
      </w:r>
    </w:p>
    <w:p>
      <w:r>
        <w:t>2.2Â Â Â Â  Als Einnahmen werden gemÃ¤ss Art. 11 Abs. 1 ELG unter anderem EinkÃ¼nfte aus beweglichem und unbeweglichem VermÃ¶gen (lit. b) angerechnet.</w:t>
      </w:r>
    </w:p>
    <w:p>
      <w:r>
        <w:rPr>
          <w:b/>
        </w:rPr>
        <w:t>E. 3</w:t>
      </w:r>
    </w:p>
    <w:p>
      <w:r>
        <w:t>3.1Â Â Â Â  Im angefochtenen Einspracheentscheid vom 30. Mai 2011 (Urk. 2; beziehungsweise den damit als verbindlich erklÃ¤rten VerfÃ¼gungen vom 24. Mai 2011, Urk. 9/177-178) errechnete die Beschwerdegegnerin anerkannte Ausgaben fÃ¼r das Jahr 2010 von Fr. 33'084.-- (allgemeiner Lebensbedarf Fr. 18'720.--, Mietzins 12 x Fr. 861.-- = Fr. 10'332.--, Krankenpflegeversicherung Fr. 4'032.--) und fÃ¼r das Jahr 2011 von Fr. 33'690.-- (allgemeiner Lebensbedarf Fr. 19'050.--, Mietzins Fr. 10'332.--, Krankenpflegeversicherung Fr. 4'308.--).</w:t>
      </w:r>
    </w:p>
    <w:p>
      <w:r>
        <w:t>Â Â Â Â Â Â Â Â Â  Diese BetrÃ¤ge blieben beschwerdeweise unbestritten und erweisen sich als korrekt.</w:t>
      </w:r>
    </w:p>
    <w:p>
      <w:r>
        <w:t>3.2Â Â Â Â  Als anrechenbare Einnahmen veranschlagte die Beschwerdegegnerin fÃ¼r das Jahr 2010 Fr. 43'659.-- (laufende Rente Fr. 19'152.--, VermÃ¶gensertrag Fr. 24'507.--) und fÃ¼r das Jahr 2011 Fr. 44'007.-- (laufende Rente Fr. 19'500.--, VermÃ¶gensertrag Fr. 24'507.--), wobei die VermÃ¶gensertrÃ¤ge zur Hauptsache aus Dividenden von je Fr. 24'500.-- pro Jahr bestanden.</w:t>
      </w:r>
    </w:p>
    <w:p>
      <w:r>
        <w:t>3.3Â Â Â Â  Hierzu brachte der BeschwerdefÃ¼hrer vor, bei den fraglichen Dividenden handle es sich nicht um Einnahmen, sondern - gemÃ¤ss tatsÃ¤chlichem wirtschaftlichem Vorgang - um die ÂRÃ¼ckzahlungÂ des VerkaufserlÃ¶ses des Bauwerkes sowie des Aktienmantels der GeschÃ¤ftshaus D.___/A.___ AG (im Folgenden: A.___ AG). FÃ¼r ihn als AktionÃ¤r stelle dieser Vorgang eine reine VermÃ¶gensÃ¤nderung dar. Durch diese Ãnderung werde das VermÃ¶gen selbstverstÃ¤ndlich nicht zu Einkommen. Das VermÃ¶gen bleibe VermÃ¶gen (Urk. 27 S. 3 Ziff. 6). Wieso die A.___ AG zwei der drei RÃ¼ckzahlungen als Dividenden deklariere, obwohl es sich um den ErlÃ¶s aus dem Verkauf ihres Bauwerkes handle, entziehe sich seiner Kenntnis. Es liege ein Fall Âkreativer BuchhaltungÂ der A.___ AG vor, welche er nicht verantworten mÃ¼sse (Urk. 1 S. 11 Ziff. 3.2).</w:t>
      </w:r>
    </w:p>
    <w:p>
      <w:r>
        <w:t>Â Â Â Â Â Â Â Â Â  Sodann sei es gar nie zur Auszahlung der Dividende gekommen, sei diese doch an den Sohn B.___ ausbezahlt worden, was keinem freiwilligen Verzicht entspreche, seien doch damit Schulden getilgt worden, zu deren RÃ¼ckzahlung er rechtlich verpflichtet sei. So habe er seine Schulden gegenÃ¼ber den SÃ¶hnen im Betrag von knapp Fr. 200'000.-- mÃ¼ndlich und schriftlich anerkannt und damit auch implizit auf die VerjÃ¤hrungseinrede verzichtet. Die SÃ¶hne hÃ¤tten bereits als UnmÃ¼ndige aufgrund der finanziell prekÃ¤ren Situation ihres Vaters zurÃ¼ckkrebsen mÃ¼ssen (durch Nichtzahlung der geschuldeten UnterhaltsbeitrÃ¤ge), wodurch sich die Ausbildungsdauer verlÃ¤ngert habe (Urk. 27 S. 3 f. Ziff. 7.1). Schliesslich kÃ¶nnten die Dividenden - wenn Ã¼berhaupt - nur im tatsÃ¤chlichen Betrag von Fr. 15'925.-- angerechnet werden (Urk. 27 S. 4 Ziff. 7.2).</w:t>
      </w:r>
    </w:p>
    <w:p>
      <w:r>
        <w:t>3.4Â Â Â Â  Streitig und zu prÃ¼fen ist damit im Wesentlichen, wie die in den Jahren 2010 und 2011 zur Ausrichtung gelangten Dividenden zu qualifizieren sind und namentlich, ob es sich dabei um anrechenbare Einnahmen handelt.</w:t>
      </w:r>
    </w:p>
    <w:p>
      <w:r>
        <w:t>Â Â Â Â Â Â Â Â Â  Festzuhalten ist sodann, dass nicht die VermÃ¶genssituation und in diesem Zusammenhang die Qualifikation von VermÃ¶gen und Schulden ausschlaggebend ist, schloss doch auch die Beschwerdegegnerin auf bestehende Schulden des BeschwerdefÃ¼hrers (Urk. 9/177-178). Relevant ist vorliegend einzig die Bedarfsrechnung im Sinne der GegenÃ¼berstellung von anerkannten Ausgaben und anrechenbaren Einnahmen.</w:t>
      </w:r>
    </w:p>
    <w:p>
      <w:r>
        <w:rPr>
          <w:b/>
        </w:rPr>
        <w:t>E. 4</w:t>
      </w:r>
    </w:p>
    <w:p>
      <w:r>
        <w:t>4.1Â Â Â Â  Den Akten ist zu entnehmen, dass der BeschwerdefÃ¼hrer zusammen mit C.___ Ã¼ber sieben (von 300) Aktien der A.___ AG verfÃ¼gte (Urk. 3/9 S. 17), wovon er die HÃ¤lfte hielt (Urk. 3/9 S. 2 Spalte 2 Mitte). Der Firmenzweck ist wie folgt umschrieben: ÂErwerb, Erstellung, Vermietung und Verkauf von GeschÃ¤ftshÃ¤usern und anderen GrundstÃ¼cken, insbesondere an der D.___ und am A.___ in E.___ usw.Â (Urk. 39).</w:t>
      </w:r>
    </w:p>
    <w:p>
      <w:r>
        <w:t>Â Â Â Â Â Â Â Â Â  Im GeschÃ¤ftsbericht 42/2009 (Urk. 3/9) wurde festgehalten, dass ein Baurechtsvertrag, auf welchem Grund sich ein Grossteil des bewirtschafteten GeschÃ¤ftshauses befindet, am 31. Dezember 2010 ablaufen sollte. AnlÃ¤sslich einer ausserordentlichen Generalversammlung am 13. Oktober 2009 seien die AktionÃ¤re Ã¼ber den geplanten Verkauf der Liegenschaften an die F.___, ___, orientiert worden. Dabei hÃ¤tten die AktionÃ¤re einstimmig beschlossen, den genannten Kaufvertrag abzuschliessen. Per Ende Februar 2010 seien die Liegenschaften der A.___ AG zum Betrag von Fr. 9'063'000.-- an die F.___, ___, verkauft worden. Mit diesem Kaufvertrag seien ebenfalls zwei weitere Baurechte (auf welchem Grund weitere GebÃ¤udeteile stehen und welche bis Ende 2040 laufen) auf die KÃ¤uferin Ã¼bergegangen. Zeitgleich habe die F.___, ___, das GrundstÃ¼ck (mit dem abgelaufenen Baurechtsvertrag) kÃ¤uflich erworben (S. 3 und S. 22).</w:t>
      </w:r>
    </w:p>
    <w:p>
      <w:r>
        <w:t>Â Â Â Â Â Â Â Â Â  Die A.___ AG legte ihren Betriebsgewinn von Fr. 3'726'164.25 fÃ¼r das Jahr 2009 in dem Sinne dar, dass dieser massgeblich auf den ausserordentlichen Erfolg im Rahmen der Aufwertung der Liegenschaft (von Fr. 4.68 Mio. auf Fr. 9.063 Mio.) zurÃ¼ckzufÃ¼hren sei (S. 5 Spalte 2). Dieser Ertrag bildete mithin die Grundlage fÃ¼r die DividendenausschÃ¼ttung von je Fr. 2.1 Mio. in den Jahren 2010 und 2011.</w:t>
      </w:r>
    </w:p>
    <w:p>
      <w:r>
        <w:t>4.2Â Â Â Â Â Â Â Â Â  Unbestritten ist, dass Dividenden grundsÃ¤tzlich VermÃ¶gensertrag darstellen und damit als anrechenbare Einnahmen gelten. Der BeschwerdefÃ¼hrer geht aber davon aus, dass es sich bei den in den Jahren 2010 und 2011 ausgerichteten Dividenden der A.___ AG - obwohl so deklariert - gar nicht um Dividenden im eigentlichen Sinne handelte, sondern um eine Zahlung der A.___ AG an die AktionÃ¤re, welche aufgrund des Verkaufs des Hauptaktivums, nÃ¤mlich der Liegenschaft an zentraler Lage in der Stadt E.___, mÃ¶glich wurde. Er geht mithin davon aus, dass die AG nicht einen Anteil am GeschÃ¤ftserlÃ¶s an die AktionÃ¤re auszahlte, sondern im Sinne einer Selbstliquidation das Hauptaktivum verÃ¤usserte und den ErlÃ¶s zur Ausrichtung brachte.</w:t>
      </w:r>
    </w:p>
    <w:p>
      <w:r>
        <w:t>4.3Â Â Â Â  Eine Dividende ist der an die AktionÃ¤re ausgeschÃ¼ttete Teil des Reingewinns einer Aktiengesellschaft. Der Reingewinn ist der Gewinn nach Abzug aller Kosten bzw. Aufwendungen. Der Reingewinn steht fÃ¼r die AusschÃ¼ttung an die AktionÃ¤re zur VerfÃ¼gung. Er kann entweder an die AktionÃ¤re als Dividende ausgezahlt werden oder in der Unternehmung belassen und wieder investiert werden. Der Reingewinn ist eine buchhalterische GrÃ¶sse, er berÃ¼cksichtigt damit auch nicht liquiditÃ¤tswirksame VorgÃ¤nge (z.B. Abschreibungen).</w:t>
      </w:r>
    </w:p>
    <w:p>
      <w:r>
        <w:t>Â Â Â Â Â Â Â Â Â  Eine Voraussetzung fÃ¼r eine Gewinnentnahme und damit die Beschliessung der Ausrichtung einer Dividende ist deren Bezug auf einen verwendbaren Eigenkapitalbetrag: Dividenden dÃ¼rfen nur aus dem ausgewiesenen Bilanzgewinn und aus hierfÃ¼r gebildeten Reserven ausgerichtet werden (Art. 675 Abs. 2 des Obligationenrechts, OR). Verwendbar ist nur der Teil, der nach den obligatorischen Zuweisungen an die allgemeine gesetzliche Reserve Ã¼brig bleibt. Als verwendbares Eigenkapital gilt dasjenige Eigenkapital, das nicht auf das Nennkapital einerseits und auf die gesperrte Quote der allgemeinen gesetzlichen Reserve, die Reserve fÃ¼r eigene Aktien und die Aufwertungsreserve andererseits entfÃ¤llt (Peter BÃ¶ckli, Schweizer Aktienrecht, ZÃ¼rich, Basel, Genf 2009, N 520 zu Â§ 12).</w:t>
      </w:r>
    </w:p>
    <w:p>
      <w:r>
        <w:t>4.4Â Â Â Â Â Â Â Â Â  Vorliegend ist erkennbar, dass die AktionÃ¤re nach Ablauf des Baurechtsvertrages auf einem Teil des GeschÃ¤ftshauses, dem beschlossenen Verkauf des GebÃ¤udes und dem einstimmigen Beschluss, per 1. Oktober 2010 sÃ¤mtliche Aktien an die K.___ AG zum Kaufpreis von Fr. 1.8 Mio. zu verkaufen (Urk. 3/10 S. 5 oben), die GeschÃ¤ftstÃ¤tigkeit an Dritte Ã¼bergaben und nicht mehr selber in der AG verblieben. Faktisch kam dies einem Verkauf der A.___ AG gleich, bestehend hauptsÃ¤chlich aus dem GebÃ¤ude. Sodann wurden die Aktien (nach dem Verkauf des GebÃ¤udes) zu einem spÃ¤teren Zeitpunkt separat verkauft.</w:t>
      </w:r>
    </w:p>
    <w:p>
      <w:r>
        <w:t>4.5Â Â Â Â Â Â Â Â Â  Wenngleich diese Betrachtungsweise die vom BeschwerdefÃ¼hrer erzielten ErtrÃ¤ge als eine Art VerkaufserlÃ¶s und damit als VermÃ¶gensverschiebung (von Aktien zu Geld) und mithin nicht als Einkommen erschienen lassen, ist doch die rechtliche Situation eine andere. Eine einkommensneutrale VerflÃ¼ssigung von Aktiven lÃ¤sst sich bei Aktienanteilen durch den Verkauf der Aktien bewerkstelligen. In diesem Sinne konstatierten denn auch die AktionÃ¤re anlÃ¤sslich der Generalversammlung vom 29. Juni 2010, dass der Verkauf sÃ¤mtlicher Aktien, welchem Vorgang die Generalversammlung einstimmig zugestimmt hatte, einkommensmÃ¤ssig nicht steuerpflichtig sein werde (Urk. 3/10 S. 4 oben). Gleichzeitig wurde indes festgehalten, dass die beiden zur Ausrichtung gelangenden Dividenden-Tranchen sehr wohl steuerrelevant seien (Urk. 3/10 S. 3 unten).</w:t>
      </w:r>
    </w:p>
    <w:p>
      <w:r>
        <w:t>Â Â Â Â Â Â Â Â Â  Diese Feststellungen und namentlich der Umstand, dass es sich bei den DividendenausschÃ¼ttungen ergÃ¤nzungsleistungsrechtlich gleichwohl um VermÃ¶gensertrag und nicht um eine VermÃ¶gensverschiebung handelt, wurde rechnungstechnisch auch damit begrÃ¼ndet, dass die Aktiven der A.___ AG massiv unterbewertet waren und dies mittels AuflÃ¶sung stiller Reserven korrigiert wurde. Dies wurde bilanzierungstechnisch korrekt als ausserordentlicher Erfolg verbucht, weshalb diesem Wert in der Erfolgsrechnung entsprechend Rechnung zu tragen war. Damit aber handelt es sich nicht einfach um den Wert des GebÃ¤udes (beziehungsweise der Aktien des BeschwerdefÃ¼hrers), sondern um einen Gewinn, welcher sich in der Dividende niederschlug und demgemÃ¤ss als VermÃ¶gensertrag anzurechnen ist.</w:t>
      </w:r>
    </w:p>
    <w:p>
      <w:r>
        <w:t>Â Â Â Â Â Â Â Â Â  Dass der BeschwerdefÃ¼hrer dieser Verbuchungsweise heute nicht mehr zustimmen mag und diese als Âkreative BuchhaltungÂ bezeichnet, Ã¤ndert nichts daran, dass er - vertreten durch C.___ - genau dieser Vorgehensweise an der Generalversammlung vom 29. Juni 2010 zustimmte (Urk. 3/10 S. 1 und S. 3 unten f.). Es wÃ¤re den AktionÃ¤ren der A.___ AG frei gestanden, ihre Aktien vor dem Verkauf des GebÃ¤udes freihÃ¤ndig zu verkaufen oder - wie erfolgt - als Gesamtpaket. Diesfalls wÃ¤re in Bezug auf den BeschwerdefÃ¼hrer tatsÃ¤chlich von einer VermÃ¶gensverschiebung auszugehen gewesen (vorbehalten die Qualifikation eines allfÃ¤lligen VermÃ¶genszuwachses). Die A.___ AG hat aber die LÃ¶sung gewÃ¤hlt, zuerst das GebÃ¤ude zu verkaufen und den AktionÃ¤ren eine Dividende auszurichten. Die AktionÃ¤re verblieben dabei (bis zum Verkauf) weiterhin in ihrer Funktion und hatten sÃ¤mtliche Rechte und Pflichten inne. Erst mit dem Verkauf der Aktien erfolgte rechtlich gesehen die Verschiebung in den VermÃ¶gen der AktionÃ¤re (von Aktien zu Geld).</w:t>
      </w:r>
    </w:p>
    <w:p>
      <w:r>
        <w:t>4.6Â Â Â Â Â Â Â Â Â  Zusammenfassend steht damit fest, dass sich die AktionÃ¤re im Zeitpunkt des Entscheides Ã¼ber die Art und Weise des Verkaufes des GebÃ¤udes sowie der Aktien Ã¼ber ihre Vorgehensweise im Klaren waren und allen bewusst war, dass die zur Ausrichtung gelangenden Dividenden steuerrelevant und damit als VermÃ¶gensertrag zu qualifizieren sein wÃ¼rden. Sowohl Jahresrechnungen der A.___ AG wie auch die entsprechenden BeschlÃ¼sse der Generalversammlung sind eindeutig und lassen im vorliegenden Verfahren betreffend ErgÃ¤nzungsleistungen keine andere Qualifikation zu. Damit sind die dem BeschwerdefÃ¼hrer in den Jahren 2010 und 2011 zugeflossenen Dividenden als VermÃ¶gensertrag anzurechnen.</w:t>
      </w:r>
    </w:p>
    <w:p>
      <w:r>
        <w:rPr>
          <w:b/>
        </w:rPr>
        <w:t>E. 5</w:t>
      </w:r>
    </w:p>
    <w:p>
      <w:r>
        <w:t>5.1Â Â Â Â  Soweit der BeschwerdefÃ¼hrer vorbringt, die Dividenden seien gar nicht ihm, sondern seinem Sohn ausgerichtet worden, erscheint dies vorliegend als irrelevant. Fest steht, dass die Dividenden dem BeschwerdefÃ¼hrer zustanden und er diese an seinen Sohn auszahlen liess (Urk. 27 S. 3 unten).</w:t>
      </w:r>
    </w:p>
    <w:p>
      <w:r>
        <w:t>5.2Â Â Â Â  Wie auch immer die vom BeschwerdefÃ¼hrer geltend gemachten Schulden (aus unbezahlt gebliebenen UnterhaltsbeitrÃ¤gen) gegenÃ¼ber seinen mittlerweile rund dreissigjÃ¤hrigen Kindern (Jahrgang 1979 und 1981, Urk. 8 S. 7 oben) zu qualifizieren sind, gelten diese beziehungsweise allfÃ¤llige Abschlagszahlungen jedenfalls nicht als anerkannte Ausgaben.</w:t>
      </w:r>
    </w:p>
    <w:p>
      <w:r>
        <w:t>Â Â Â Â Â Â Â Â Â  Vorweg findet sich in der gesetzlichen Umschreibung der anerkannten Ausgaben gemÃ¤ss Art. 10 ELG kein Posten betreffend SchuldenrÃ¼ckzahlung, weshalb eine BerÃ¼cksichtigung von vornherein ausser Betracht fÃ¤llt.</w:t>
      </w:r>
    </w:p>
    <w:p>
      <w:r>
        <w:t>Â Â Â Â Â Â Â Â Â  Den beiden nachtrÃ¤glich und im Rahmen des Verfahrens betreffend ErgÃ¤n-zungsleistungen verfassten Urkunden vom 14. und 17. Juli 2010 (Urk. 3/15-16) ist sodann zu entnehmen, dass den BeschwerdefÃ¼hrer lediglich dann eine RÃ¼ckzahlungspflicht trifft, wenn er zu Einnahmen kommt (jeweils letzter Punkt). Bei einem AusgabenÃ¼berschuss - ohne Einrechnung der Dividenden - und einer fast ausgeglichenen Bedarfsrechnung - mit Einrechnung der Dividenden - kann nun sinnigerweise nicht davon gesprochen werden, der BeschwerdefÃ¼hrer sei zu Einnahmen gekommen.</w:t>
      </w:r>
    </w:p>
    <w:p>
      <w:r>
        <w:t>5.3Â Â Â Â  Damit hat sich der BeschwerdefÃ¼hrer die Dividenden in vollem Umfange anrechnen zu lassen. Anders zu entscheiden hiesse, eine Weitergabe von VermÃ¶gensertrÃ¤gen an erwachsene Kinder bei gleichzeitigem Bezug von ErgÃ¤nzungsleistungen zu Lasten der Gemeinde zuzulassen. Faktisch wÃ¼rde die Beschwerdegegnerin die dreissigjÃ¤hrigen SÃ¶hne des BeschwerdefÃ¼hrers finanziell unterstÃ¼tzen. Dass dies bei den vorliegenden VerhÃ¤ltnissen nicht der Meinung des Gesetzgebers entspricht, ist offenkundig und braucht nicht weiter kommentiert zu werden.</w:t>
      </w:r>
    </w:p>
    <w:p>
      <w:r>
        <w:rPr>
          <w:b/>
        </w:rPr>
        <w:t>E. 6</w:t>
      </w:r>
    </w:p>
    <w:p>
      <w:r>
        <w:t>6.1Â Â Â Â  In masslicher Hinsicht brachte der BeschwerdefÃ¼hrer vor, es seien Dividenden von lediglich je Fr. 15'925.-- ausgerichtet worden. Er anerkannte sodann, dass mit diesen Einnahmen kein AusgabenÃ¼berschuss resultiert (Urk. 27 S. 4 Ziff. 7.2). Diese EinschÃ¤tzung ist zutreffend, resultieren doch auch bei Anrechnung der reduzierten Zahlungen sowohl fÃ¼r das Jahr 2010 als auch fÃ¼r das Jahr 2011 EinnahmenÃ¼berschÃ¼sse von rund Fr. 2'000.--.</w:t>
      </w:r>
    </w:p>
    <w:p>
      <w:r>
        <w:t>6.2Â Â Â Â  Damit hat es mit der Feststellung sein Bewenden, dass der BeschwerdefÃ¼hrer zur Deckung seines Existenzbedarfs in den Jahren 2010 und 2011 keiner Leistung der Beschwerdegegnerin bedurfte. Die Leistungsverneinung der Beschwerdegegnerin erweist sich demgemÃ¤ss als ebenso richtig wie die RÃ¼ckforderung der (unter diesem Vorbehalt Ã¼berhaupt erst) erbrachten Leistungen. Der angefochtene Einspracheentscheid ist demgemÃ¤ss in materieller Hinsicht nicht zu beanstanden, was zur Abweisung der Beschwerde fÃ¼hrt.</w:t>
      </w:r>
    </w:p>
    <w:p>
      <w:r>
        <w:rPr>
          <w:b/>
        </w:rPr>
        <w:t>E. 7</w:t>
      </w:r>
    </w:p>
    <w:p>
      <w:r>
        <w:t>7.1Â Â Â Â  Auf Gesuch vom 26. September 2011 hin (Urk. 18 S. 2) bestellte das Gericht nach hinreichender Substantiierung der BedÃ¼rftigkeit (Urk. 28, Urk. 31) mit VerfÃ¼gung vom 8. Dezember 2011 antragsgemÃ¤ss Rechtsanwalt Valentin N.J. Landmann, ZÃ¼rich, als unentgeltlichen Rechtsbeistand (Urk. 34 Dispositiv-Ziffer 1).</w:t>
      </w:r>
    </w:p>
    <w:p>
      <w:r>
        <w:t>Â Â Â Â Â Â Â Â Â  Mit Kostennote vom 17. April 2012 machte dieser einen Aufwand von 18.10 Stunden sowie Barauslagen von insgesamt Fr. 237.-- (zuzÃ¼glich Mehrwertsteuer) geltend (Urk. 40).</w:t>
      </w:r>
    </w:p>
    <w:p>
      <w:r>
        <w:t>7.2Â Â Â Â  Mit der Ernennung als unentgeltlicher Rechtsvertreter tritt dieser in eine Ã¶ffentlichrechtliche Beziehung zum Staat. Die unentgeltliche VerbeistÃ¤ndung bedeutet nicht etwa nur die staatliche Finanzierung eines privat gewÃ¤hlten Rechtsbeistandes. Vielmehr handelt es sich um ein Ã¶ffentlichrechtliches VerhÃ¤ltnis zwischen dem Staat und dem Anwalt. Ein staatlich eingesetzter Anwalt kann sein Mandat nicht ohne weiteres einseitig niederlegen (BGE 132 V 200 Erw. 5.1.4).</w:t>
      </w:r>
    </w:p>
    <w:p>
      <w:r>
        <w:t>Â Â Â Â Â Â Â Â Â  Mit der Ernennung wird das Honorar des unentgeltlichen Rechtvertreters aus der Gerichtskasse entrichtet. Weder die Partei noch der Vertreter selbst kÃ¶nnen die Bestellung widerrufen. Das Gericht bewilligt den Wechsel der amtlichen Vertretung nur, wenn aus objektiven GrÃ¼nden eine sachgerechte Vertretung der Interessen nicht mehr gewÃ¤hrleistet ist (vgl. Geiser, in: Geiser/MÃ¼nch, Prozessieren vor Bundesgericht, 2. Auflage, Rz 1.40; BGE 116 Ia 105).</w:t>
      </w:r>
    </w:p>
    <w:p>
      <w:r>
        <w:t>7.3Â Â Â Â Â Â Â Â Â  Obwohl das Gericht dem Gesuch entsprechend Rechtsanwalt Landmann als unentgeltlicher Rechtsbeistand bestellte, hat dieser sich nach Lage der Akten Rechtsanwalt Landmann mit der vorliegenden Streitigkeit persÃ¶nlich gar nicht befasst. Das Gesuch um unentgeltliche VerbeistÃ¤ndung vom 26. September 2011 (Urk. 18) unterzeichnete zwar Rechtsanwalt Landmann, doch trÃ¤gt die Eingabe das KÃ¼rzel ÂG.___Â, was auf die in der gleichen Kanzlei tÃ¤tige G.___ als effektive Verfasserin des Schreibens schliessen lÃ¤sst. Diese - und jedenfalls nicht Rechtsanwalt Landmann - telefonierte am 27. September 2011 mit dem Gericht (Urk. 20: statt Frau H.___ wohl richtig: Frau G.___). Die Eingabe vom 6. Oktober 2011 verfasste die ebenfalls bevollmÃ¤chtigte (vgl. Urk. 19) RechtsanwÃ¤ltin I.___ (Urk. 21) ebenso wie die Eingaben vom 17. November (Urk. 27) und vom 24. November 2011 (Urk. 30), welche Eingaben alle das KÃ¼rzel ÂI.___Â tragen, ohne dass RechtsanwÃ¤ltin I.___ darum ersucht hÃ¤tte, als unentgeltliche Vertreterin eingesetzt zu werden. Auch die Ã¼brigen Eingaben mit eher kanzleitechnischem Charakter sind nicht von Rechtsanwalt Landmann unterzeichnet (Urk. 22-23, Urk. 25/2, Urk. 26, Urk. 40).</w:t>
      </w:r>
    </w:p>
    <w:p>
      <w:r>
        <w:t>7.4Â Â Â Â  Der vom Gericht persÃ¶nlich als unentgeltlicher Rechtsvertreter bestellte Anwalt darf sich nicht ohne Einwilligung der Gerichts substituieren lassen. Darauf wurde Rechtsanwalt Valentin N.J. Landmann bereits mit GerichtsverfÃ¼gung vom 14. April 2008 im Verfahren IV.2008.00361 in Sachen R.C. hingewiesen.</w:t>
      </w:r>
    </w:p>
    <w:p>
      <w:r>
        <w:t>Â Â Â Â Â Â Â Â Â  Damit fÃ¤llt die EntschÃ¤digung aus der Gerichtskasse der vom eingesetzten unentgeltlichen Rechtsbeistand nicht persÃ¶nlich getÃ¤tigten und damit nicht ihm zuzurechnenden Aufwendungen ausser Betracht. Gleiches gilt auch fÃ¼r die nicht von ihm verursachten Barauslagen.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Dr. Valentin Landmann, ZÃ¼rich, wird nicht entschÃ¤digt.</w:t>
      </w:r>
    </w:p>
    <w:p>
      <w:r>
        <w:t>4.Â Â Â Â Â Â Â Â Â Â  Zustellung gegen Empfangsschein an:</w:t>
      </w:r>
    </w:p>
    <w:p>
      <w:r>
        <w:t>- Rechtsanwalt Dr. Valentin N. J. Landmann</w:t>
      </w:r>
    </w:p>
    <w:p>
      <w:r>
        <w:t>- Stadt Y.___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