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ZL.2011.00007 vom 31. Januar 2013</w:t>
      </w:r>
    </w:p>
    <w:p>
      <w:r>
        <w:t>ZH Sozialversicherungsgericht, 2013-01-31, DE</w:t>
      </w:r>
    </w:p>
    <w:p>
      <w:r>
        <w:rPr>
          <w:b/>
        </w:rPr>
        <w:t xml:space="preserve">Quelle: </w:t>
      </w:r>
      <w:r>
        <w:t>https://mcp.opencaselaw.ch/entscheid/zh_sozialversicherungsgericht_ZL.2011.00007</w:t>
      </w:r>
    </w:p>
    <w:p>
      <w:r>
        <w:t>FR: ZH_SOZIALVERSICHERUNGSGERICHT ZL.2011.00007 du 31 janvier 2013</w:t>
      </w:r>
    </w:p>
    <w:p>
      <w:r>
        <w:t>IT: ZH_SOZIALVERSICHERUNGSGERICHT ZL.2011.00007 del 31 gennaio 2013</w:t>
      </w:r>
    </w:p>
    <w:p>
      <w:pPr>
        <w:pStyle w:val="Heading2"/>
      </w:pPr>
      <w:r>
        <w:t>Erwägungen</w:t>
      </w:r>
    </w:p>
    <w:p>
      <w:r>
        <w:rPr>
          <w:b/>
        </w:rPr>
        <w:t>E. 1</w:t>
      </w:r>
    </w:p>
    <w:p>
      <w:r>
        <w:t>1.1Â Â Â Â  GemÃ¤ss Art. 9 Abs. 1 der ab 1. Januar 2008 gÃ¼ltigen Fassung des Bundesgesetzes Ã¼ber ErgÃ¤nzungsleistungen zur Alters-, Hinterlassenen- und Invalidenversicherung (ELG) entspricht die jÃ¤hrliche ErgÃ¤nzungsleistung dem Betrag, um den die anerkannten Ausgaben die anrechenbaren Einnahmen Ã¼bersteigen. Die anerkannten Ausgaben und anrechenbaren Einnahmen von Ehegatten sind gestÃ¼tzt auf Art. 9 Abs. 2 ELG zusammenzurechnen.</w:t>
      </w:r>
    </w:p>
    <w:p>
      <w:r>
        <w:t>1.2Â Â Â Â  Die anerkannten Ausgaben sind in Art. 10 ELG, die anrechenbaren Einnahmen in Art. 11 ELG aufgelistet.</w:t>
      </w:r>
    </w:p>
    <w:p>
      <w:r>
        <w:t>Â Â Â Â Â Â Â Â  Als Einnahmen angerechnet werden nach Art. 11 Abs. 1 ELG unter anderem zwei Drittel der ErwerbseinkÃ¼nfte, soweit sie einen Freibetrag von Fr. 1'000.00 (Alleinstehende) beziehungsweise von Fr. 1'500.00 (Ehepaare und Personen mit Kindern) Ã¼bersteigen (lit. a), ein Prozentsatz des VermÃ¶gens (lit. c), die Renten (lit. d) sowie auch EinkÃ¼nfte und VermÃ¶genswerte, auf die verzichtet worden ist (lit. g). Die letztgenannte Vorschrift stellt eine Konkretisierung des allgemeinen, im gesamten Sozialversicherungsrecht massgebenden Grundsatzes der Schadenminderungspflicht dar (vgl. Carigiet/Koch, ErgÃ¤nzungsleistungen zur AHV/IV, 2. Auflage, ZÃ¼rich 2009, S. 151 mit Hinweis auf das Urteil des Bundesgerichts 8C_380/2008 vom 17. September 2008).</w:t>
      </w:r>
    </w:p>
    <w:p>
      <w:r>
        <w:t>1.3Â Â Â Â  Nach der Rechtsprechung liegt eine Verzichtshandlung dann vor, wenn die anspruchsberechtigte Person ohne rechtliche Verpflichtung und ohne adÃ¤quate Gegenleistung auf EinkÃ¼nfte oder VermÃ¶gen verzichtet hat, wobei diese beiden Voraussetzungen nicht kumulativ, sondern alternativ zu verstehen sind (BGE 131 V 329).</w:t>
      </w:r>
    </w:p>
    <w:p>
      <w:r>
        <w:t>Â Â Â Â Â Â Â Â  FÃ¼r die Beurteilung der Frage, ob ein VermÃ¶gensverzicht vorliegt beziehungsweise ob eine adÃ¤quate Gegenleistung fÃ¼r das hingegebene VermÃ¶gen erbracht worden ist, ist rechtsprechungsgemÃ¤ss auf das VerhÃ¤ltnis zwischen Leistung und Gegenleistung zur Zeit der EntÃ¤usserung des entsprechenden VermÃ¶gensbestandteils abzustellen; massgebend sind somit die Werte zu jener Zeit. Die Ermittlung dieser Werte hat jedoch nach den Normen zu erfolgen, die zur Zeit der Beanspruchung der Zusatzleistungen gelten; es handelt sich bei diesem Grundsatz um eine sogenannte unechte RÃ¼ckwirkung (Urteil des Bundesgerichts 8C_849/2008 vom 16. Juni 2009, E. 6.3.1 und E. 6.3.2).</w:t>
      </w:r>
    </w:p>
    <w:p>
      <w:r>
        <w:t>Â Â Â Â Â Â Â Â  Nach Art. 17 Abs. 1 der Verordnung Ã¼ber die ErgÃ¤nzungsleistungen zur Alters-, Hinterlassenen- und Invalidenversicherung (ELV) in der Fassung, wie diese Verordnung ab dem 1. Januar 2008 gilt, ist das anrechenbare VermÃ¶gen nach den GrundsÃ¤tzen der Gesetzgebung Ã¼ber die direkte kantonale Steuer fÃ¼r die Bewertung des VermÃ¶gens im Wohnsitzkanton zu bewerten. Dienen GrundstÃ¼cke dem BezÃ¼ger oder einer Person, die in der EL-Berechnung eingeschlossen ist, nicht zu eigenen Wohnzwecken, so sind diese nach Art. 17 Abs. 4 ELV zum Verkehrswert einzusetzen. Bei der entgeltlichen oder unentgeltlichen EntÃ¤usserung eines GrundstÃ¼ckes ist nach Art. 17 Abs. 5 Satz 1 ELV der Verkehrswert massgebend fÃ¼r die PrÃ¼fung, ob ein VermÃ¶gensverzicht im Sinne von Art. 11 Abs. 1 lit. g ELG vorliegt. Nach Art. 17 Abs. 5 Satz 2 ELV gelangt der Verkehrswert nicht zur Anwendung, wenn von Gesetzes wegen ein Rechtsanspruch auf den Erwerb zu einem tieferen Wert besteht. GemÃ¤ss Art. 17 Abs. 6 ELV kÃ¶nnen die Kantone anstelle des Verkehrswertes einheitlich den fÃ¼r die interkantonale Steuerausscheidung massgebenden Repartitionswert anwenden. Der Kanton ZÃ¼rich macht indessen von dieser Befugnis keinen Gebrauch (vgl. die Weisungen und Informationen betreffend Zusatzleistungen zu AHV/IV, ÂVollzugsweisungen betr. Zusatzleistungen mit Wirkung ab 1. Januar 1999Â vom 24. November 1998, einsehbar unter www.sozialamt.zh.ch ).</w:t>
      </w:r>
    </w:p>
    <w:p>
      <w:r>
        <w:t>1.4Â Â Â Â  FÃ¼r die BerÃ¼cksichtigung eines VermÃ¶gensverzichts ist grundsÃ¤tzlich unerheblich, wie weit die Verzichtshandlung zurÃ¼ckliegt (vgl. Carigiet/Koch, a.a.O., S. 176). Der anzurechnende Betrag von VermÃ¶genswerten, auf die verzichtet worden ist, wird jedoch gestÃ¼tzt auf Art. 17a ELV ab dem Ã¼bernÃ¤chsten Jahr, das auf den Verzicht folgt, jÃ¤hrlich um Fr. 10Â000.00 vermindert.</w:t>
      </w:r>
    </w:p>
    <w:p>
      <w:r>
        <w:rPr>
          <w:b/>
        </w:rPr>
        <w:t>E. 2</w:t>
      </w:r>
    </w:p>
    <w:p>
      <w:r>
        <w:t>2.1Â Â Â Â  Zur Diskussion steht, ob der BeschwerdefÃ¼hrerin im Zusammenhang mit den gewÃ¤hrten ErbvorbezÃ¼gen und der gÃ¼ter- und erbrechtlichen Auseinandersetzung anlÃ¤sslich des Todes ihres Ehemannes VerzichtvermÃ¶gen bei der Ermittlung ihres Zusatzleistungsanspruchs anzurechnen ist. Im Zentrum steht die Bewertung und Anrechnung der Liegenschaften, die den Nachkommen des Ehepaars A.___ und X.___ zu Lebzeiten von A.___ als ErbvorbezÃ¼ge Ã¼bereignet worden sind, sowie der Liegenschaften, die nach dem Tod von A.___ an den Sohn D.___ gegangen sind.</w:t>
      </w:r>
    </w:p>
    <w:p>
      <w:r>
        <w:t>2.2Â Â Â Â  Das Bundesgericht hat in einem Grundsatzurteil vom 5. Februar 2007 (P 30/06) auf die Regelung hingewiesen, wonach die anerkannten Ausgaben und Einnahmen von Ehegatten ohne RÃ¼cksicht auf den GÃ¼terstand zusammenzurechnen sind (Art. 3a Abs. 4 ELG in der bis Ende 2007 gÃ¼ltig gewesenen Fassung, Art. 9 Abs. 2 ELG in der ab Anfang 2008 in Kraft stehenden Fassung), und hat festgehalten, dass dementsprechend auch die Einkommens- und VermÃ¶gensverzichte beider Ehegatten, und zwar ungeachtet der eigentums- oder ehegÃ¼terrechtlichen Situation, zu berÃ¼cksichtigen seien. Daraus hat das hÃ¶chste Gericht abgeleitet, dass bei der Berechnung des Anspruchs des Ã¼berlebenden Ehegatten ein VermÃ¶gensverzicht, den ein verstorbener Ehegatte wÃ¤hrend der Dauer der Ehe geleistet habe, ebenfalls aufzurechnen sei (P 30/06 E. 3.5). Allerdings hat es in teilweiser Korrektur eines frÃ¼her ergangenen Entscheids (Urteil P52/03 vom 23. Dezember 2003) erkannt, dass nach dem Tod des einen Ehegatten fÃ¼r die Ermittlung des VerzichtvermÃ¶gens des anderen vorerst eine gÃ¼ter- und erbrechtliche Auseinandersetzung zu erfolgen habe. Soweit das VermÃ¶gen des Verstorbenen erbrechtlich an Dritte gehe, handle es sich nÃ¤mlich nicht mehr um VermÃ¶gen des Ã¼berlebenden Ehegatten und insoweit dÃ¼rfe es daher bei der Berechnung des Anspruchs auf ErgÃ¤nzungsleistungen nicht berÃ¼cksichtigt werden. Dies gelte auf jeden Fall dann, wenn das VermÃ¶gen an gesetzliche Erben gehe, denn diese hÃ¤tten einen unmittelbar gesetzlichen Anspruch auf ihren Erbteil und die Auszahlung dieses Anspruchs kÃ¶nne nicht als VermÃ¶gensverzicht im Sinne des ELG betrachtet werden (Urteil des Bundesgerichts P 30/06 vom 5. Februar 2007, E. 4.3 und E. 4.4; im Urteil P52/03 vom 23. Dezember 2003 wurde demgegenÃ¼ber die Auffassung vertreten, dass sich die Ausgleichskassen auch nach dem Tod des einen Ehegatten nicht mit gÃ¼ter- und erbrechtlichen Fragen zu befassen hÃ¤tten, sondern dass der zu Lebzeiten erbrachte VermÃ¶gensverzicht stets je zur HÃ¤lfte den beiden Ehegatten anzurechnen sei; vgl. die Kritik dieses Urteils von Stephan Stucki, Die BerÃ¼cksichtigung unentgeltlicher Liegenschaftsabtretungen im Recht der ErgÃ¤nzungsleistungen zur AHV/IV, in: Der Bernische Notar 2006, S. 262 ff.).</w:t>
      </w:r>
    </w:p>
    <w:p>
      <w:r>
        <w:rPr>
          <w:b/>
        </w:rPr>
        <w:t>E. 2.3</w:t>
      </w:r>
    </w:p>
    <w:p>
      <w:r>
        <w:t>2.3.1Â Â  Vorliegendenfalls sind erbrechtlich allerdings nicht die gesetzlichen Quoten und die Pflichtteile massgebend, sondern der Erbvertrag vom 19. September 1988 (Urk. 7/43.2). Er wurde unter Mitwirkung zweier Zeugen Ã¶ffentlich beurkundet (vgl. Art. 512 ZGB), und es besteht somit kein Anlass fÃ¼r Zweifel an dessen GÃ¼ltigkeit. Wie dem partiellen Erbteilungsvertrag vom 24. Januar 1989 zu entnehmen ist (Urk. 7/43.3), wurde der Erbvertrag sodann auch vereinbarungsgemÃ¤ss abgewickelt; Anhaltspunkte dafÃ¼r, dass sich dies in Bezug auf die zu jenem Zeitpunkt noch nicht verteilte, der BeschwerdefÃ¼hrerin zukommende Barschaft anders verhalten hat, sind nicht vorhanden. Unter diesen UmstÃ¤nden stellt sich zunÃ¤chst die Frage nach den zusatzleistungsrechtlich massgebenden Verzichtshandlungen.</w:t>
      </w:r>
    </w:p>
    <w:p>
      <w:r>
        <w:t>2.3.2Â Â  Erste Verzichtshandlungen fanden in den Jahren 1975 und 1977 bei der Ãbereignung zweier Liegenschaften an den Ã¤lteren Sohn und die Tochter und dann wiederum im September 1988 bei der Ãbereignung einer Liegenschaft an den Ã¤lteren Sohn statt. Diese ohne Gegenleistung erfolgten Ãbereignungen zu Lebzeiten von A.___ hÃ¤tten dann als VerzichtvermÃ¶gen berÃ¼cksichtigt werden mÃ¼ssen, wenn das Ehepaar A.___ und X.___ vor dem Versterben des Ehemannes Zusatzleistungen beansprucht hÃ¤tte (vgl. Stephan Stucki, a.a.O., S. 260 Fn 83).</w:t>
      </w:r>
    </w:p>
    <w:p>
      <w:r>
        <w:t>2.3.3Â Â  Nach dem Tod einer Person stellt sich demgegenÃ¼ber die Frage, wieweit fÃ¼r geleistete ErbvorbezÃ¼ge durch AusgleichsansprÃ¼che eine Gegenleistung nachtrÃ¤glich entrichtet worden ist. Es geht hier also um Verzichtshandlungen, die anlÃ¤sslich der Erbteilung erfolgen, etwa, indem die Ehefrau eine ihr tatsÃ¤chlich zustehende Ausgleichsforderung nicht geltend macht (vgl. Stephan Stucki, a.a.O., S. 258 ff.). Damit ist jedoch die Frage noch nicht beantwortet, ob und wieweit bei testamentarischen Anordnungen oder beim Treffen von erbvertraglichen Vereinbarungen Verzichtshandlungen in die Wege geleitet werden kÃ¶nnen, die sich nach dem Tod dadurch verwirklichen, dass diese Festlegungen korrekt befolgt werden. Vorliegend steht als Anwendungsfall dieser Frage zur Diskussion, ob sich die BeschwerdefÃ¼hrerin als VerzichtvermÃ¶gen ungeachtet der erbvertraglichen Vereinbarung vom 19. September 1988 die Differenz zwischen ihrem gesetzlichen Erbteil (unter BerÃ¼cksichtigung des gÃ¼terrechtlichen Anspruchs) und dem erbvertraglich festgelegten Anspruch als VerzichtvermÃ¶gen anrechnen lassen muss. Beide Parteien scheinen dies in ihren Berechnungen zu bejahen und divergieren nur in Bezug auf die Bewertungen der Liegenschaften (vgl. Urk. 2/1-4, Urk. 3/I und Urk. 20).</w:t>
      </w:r>
    </w:p>
    <w:p>
      <w:r>
        <w:t>2.3.4Â Â  In der Rechtsprechung wird allerdings umgekehrt dort eine Verzichtshandlung angenommen, wo eine Person ehe- und erbvertraglich Ã¼ber ihren gesetzlichen Erbanspruch hinaus begÃ¼nstigt worden ist, sich bei der Teilung jedoch mit dem gesetzlichen Erbanspruch begnÃ¼gt (JÃ¶hl, ErgÃ¤nzungsleistungen zur AHV/IV, in: Schweizerisches Bundesverwaltungsrecht [SBVR], 2. Auflage, S. 1805 Fn 836 mit Hinweis auf ein Urteil, publiziert in BVR 1996 S. 92 ff.; Urteil des Bundesgerichts 9C_198/2010 vom 9. August 2010, E. 5.1-3). Bei dieser Rechtslage darf indessen den Ã¼brigen, erbvertraglich zulasten des gesetzlichen Erbteils benachteiligten Erben kein Verzicht angerechnet werden, wenn sie sich mit ihrem tieferen Erbteil zufrieden geben. Andernfalls wÃ¤re in einer Konstellation wie der dargelegten kein Vorgehen der Beteiligten bei der Erbteilung mÃ¶glich, das nicht auf der einen oder auf der anderen Seite zu einem zusatzleistungsrelevanten VermÃ¶gensverzicht fÃ¼hren wÃ¼rde. In der Lehre wird denn auch die Auffassung dargelegt, dass bei der Ermittlung des VerzichtvermÃ¶gens auf die im Einzelfall anwendbaren gÃ¼ter- und erbrechtlichen VerhÃ¤ltnisse abzustellen sei, indem etwa dort, wo die Ehefrau testamentarisch auf den Pflichtteil von einem Viertel gesetzt werde, der Anteil der Miterben von drei Vierteln bei der Berechnung des VerzichtvermÃ¶gens abzuziehen sei (Stephan Stucki, a.a.O., S. 257 Fn 72).</w:t>
      </w:r>
    </w:p>
    <w:p>
      <w:r>
        <w:t>Â Â Â Â Â Â Â Â  Im gerade angefÃ¼hrten Literaturbeispiel ging es um eine testamentarische Anordnung, und es wurde festgehalten, dass der Abzug von drei Vierteln der hÃ¶chstmÃ¶gliche Abzug sei, da der Ehefrau mindestens der Pflichtteil in jedem Fall zustehe. Im Gegensatz zur einseitigen testamentarischen Anordnung erfordert ein Erbvertrag die Zustimmung der bedachten Person. Zusatzleistungsrechtlich erscheint es jedoch als gerechtfertigt, Testament und Erbvertrag gleich zu behandeln. Denn auch wenn formal betrachtet die begÃ¼nstigte Person nur beim Erbvertrag, nicht aber beim Testament mitwirkt und durch ihre Zustimmung entscheiden kann, so wird es hÃ¤ufig vorkommen, dass die testierende Person ihr Testament im EinverstÃ¤ndnis mit den nÃ¤chsten gesetzlichen Erben, also vor allem mit dem Ehegatten und mit den Nachkommen, verfasst, sodass aus materieller Sicht eine Unterscheidung zumindest nicht Ã¼berall angebracht ist. Dies hat zur Folge, dass entgegen der Auffassung beider Parteien ein zusatzleistungsrelevanter VermÃ¶gensverzicht infolge des Erbvertrags vom 19. September 1988 nur - aber immerhin - soweit in Betracht fÃ¤llt, als dadurch und durch die gestÃ¼tzt darauf vollzogene Teilung der Pflichtteil der BeschwerdefÃ¼hrerin unterschritten wurde. Auch wenn erbvertraglich selbst der Pflichtteil nicht eingehalten werden muss (Art. 495 ZGB; vgl. Peter Breitschmid in: Basler Kommentar ZGB, 3. Auflage, Basel 2007 [BSK ZGB], N 1 f. zu Art. 495 ZGB), ist somit aus den dargelegten GleichbehandlungsgrÃ¼nden aus zusatzleistungsrechtlicher Sicht eine Unterschreitung des Pflichtteils nicht zu tolerieren.</w:t>
      </w:r>
    </w:p>
    <w:p>
      <w:r>
        <w:t>2.3.5Â Â  Es gilt demnach als Ausgangsbasis fÃ¼r die Frage nach dem VermÃ¶gensverzicht zum einen den Anspruch aus GÃ¼terrecht und zum anderen den erbrechtlichen Pflichtteilsanspruch von einem Viertel (Art. 462 Ziffer 1 und Art. 471 Ziffer 3 ZGB) zu ermitteln, den die BeschwerdefÃ¼hrerin aufgrund des Todes ihres Ehemannes nach vorgÃ¤ngiger gÃ¼terrechtlicher Auseinandersetzung hatte.</w:t>
      </w:r>
    </w:p>
    <w:p>
      <w:r>
        <w:rPr>
          <w:b/>
        </w:rPr>
        <w:t>E. 2.4</w:t>
      </w:r>
    </w:p>
    <w:p>
      <w:r>
        <w:t>2.4.1Â Â  Massgebend fÃ¼r die Bestimmung des gesamten Nachlasses als Ausgangsbasis fÃ¼r die Ermittlung der gesetzlichen Erbteile und der Pflichtteile ist der Verkehrswert zur Zeit des Todes des Erblasses (Art. 474 ZGB; vgl. Daniel Staehelin in: BSK ZGB, N 2 zu Art. 474 ZGB). DemgegenÃ¼ber ist fÃ¼r die PrÃ¼fung der Frage nach der HÃ¶he des VerzichtvermÃ¶gens der Verkehrswert im Zeitpunkt der EntÃ¤usserung relevant. Die zusatzleistungsrelevanten EntÃ¤usserungshandlungen fanden nach dem Gesagten anlÃ¤sslich der partiellen Erbteilung vom 24. Januar 1989 statt und nicht etwa bereits mit den Ãbereignungen der Liegenschaften zu Lebzeiten von A.___ in den Jahren 1975, 1977 und 1988 (E. 2.3.2 und E. 2.3.3) oder mit dem Abschluss des Erbvertrags vom 19. September 1988.</w:t>
      </w:r>
    </w:p>
    <w:p>
      <w:r>
        <w:t>Â Â Â Â Â Â Â Â  Dabei erfolgte die EntÃ¤usserung vom 24. Januar 1989 so kurze Zeit nach dem Tod von A.___ vom Oktober 1988, dass die Verkehrswerte - namentlich der GrundstÃ¼cke - zu diesen Zeitpunkten als identisch betrachtet werden kÃ¶nnen. Dies gilt umso mehr, als die Frage nach der Einhaltung des Pflichtteils - der als Quote definiert ist - erst bei der Teilung unter Anwendung der dann massgebenden tatsÃ¤chlichen Werte beantwortet werden kann (vgl. Druey, Grundriss des Erbrechts, 5. Auflage, Bern 2002, S. 258 N 69 zu Â§ 16).</w:t>
      </w:r>
    </w:p>
    <w:p>
      <w:r>
        <w:t>2.4.2Â Â  Bei der gÃ¼terrechtlichen Auseinandersetzung ging die Beschwerdegegnerin gemÃ¤ss ihren diesbezÃ¼glich unbestrittenen AusfÃ¼hrungen in der Berechnung im Anhang zum angefochtenen Einspracheentscheid davon aus, dass sÃ¤mtliche Liegenschaften Eigengut des Ehemannes seien (vgl. das in Bezug auf die Legende korrigierte Berechnungsblatt in Urk. 20) und dass lediglich die Barschaft, die sich gemÃ¤ss Steuerinventar auf Fr. 167Â381.55 beziehungsweise abzÃ¼glich der laufenden Schuldverpflichtungen von Fr. 7Â391.50 und der Todesfallkosten von Fr. 6Â833.00 auf Fr. 153Â157.05 belief (vgl. 7/16 und die Berechnung in Urk. 20 S. 2), Errungenschaft (des Ehemannes) darstelle.</w:t>
      </w:r>
    </w:p>
    <w:p>
      <w:r>
        <w:t>Â Â Â Â Â Â Â Â  Korrekt gelangte die Beschwerdegegnerin aufgrund dieser Annahme zum Schluss, dass die HÃ¤lfte dieses Betrages, also gerundet Fr. 76Â578.00, der BeschwerdefÃ¼hrerin unter dem Titel der Vorschlagsbeteiligung (Art. 215 ZGB) zustehe - diesen Betrag hat die BeschwerdefÃ¼hrerin auch tatsÃ¤chlich erhalten (vgl. E. 2.3.1) -, wÃ¤hrenddem sie die andere HÃ¤lfte zutreffenderweise dem Nachlass anrechnete.</w:t>
      </w:r>
    </w:p>
    <w:p>
      <w:r>
        <w:t>2.4.3Â Â  Zur Festlegung des gesamten Nachlasses zÃ¤hlte die Beschwerdegegnerin zum Betrag von Fr. 76Â578.00 richtigerweise die Werte sÃ¤mtlicher zum ErbschaftsvermÃ¶gen gehÃ¶renden Liegenschaften hinzu. FÃ¼r die Ermittlung der Erbteile sind des Weiteren auch die Werte der Liegenschaften dazuzurechnen, welche den Nachkommen B.___ und C.___ zu Lebzeiten des Vaters Ã¼bereignet worden sind (vgl. Art. 475, Art. 527 und Art. 626 ZGB). Dabei hat die Anrechnung ebenfalls zum Verkehrswert zur Zeit des Erbganges zu erfolgen (vgl. Art. 630 ZGB). Der Erblasser kann zwar einen abweichenden Anrechnungswert festlegen, dieser darf aber den Pflichtteil nicht verletzen, weshalb das Vorbezogene fÃ¼r die Pflichtteilsbestimmung dennoch zum Verkehrswert hinzuzurechnen ist (vgl. Druey, a.a.O., S. 74 N 78 zu Â§ 6 und S. 172 f. N 7 und N 9 zu Â§ 13; vgl. auch Daniel Staehelin in: BSK ZGB, N 4 zu Art. 475 ZGB, und Rolando Forni/Giorgio Piatti in: BSK ZGB, N 1 zu Art. 630 ZGB).</w:t>
      </w:r>
    </w:p>
    <w:p>
      <w:r>
        <w:rPr>
          <w:b/>
        </w:rPr>
        <w:t>E. 2.5</w:t>
      </w:r>
    </w:p>
    <w:p>
      <w:r>
        <w:t>2.5.1Â Â  Damit stellt sich die zentrale Frage nach den Verkehrswerten der verschiedenen Liegenschaften zur Zeit Ende 1988/Anfang 1989.</w:t>
      </w:r>
    </w:p>
    <w:p>
      <w:r>
        <w:t>2.5.2Â Â  Schon von der Vorgehensweise her nicht richtig berechnet ist der Wert der Liegenschaft Kat. Nr. aa. Wie die BeschwerdefÃ¼hrerin in der Beschwerdeschrift zu Recht geltend machen lÃ¤sst (Urk. 1 S. 2 f.), ermittelte die Beschwerdegegnerin den eingesetzten Betrag unrichtig so, dass sie vom eingesetzten Wert der Liegenschaft nicht nur die Hypothekarschuld in der HÃ¶he von Fr. 1Â220Â000.00, sondern auch das kapitalisierte Wohnrecht in Abzug brachte (vgl. die Berechnung in Urk. 2/2). Richtigerweise bildet das Wohnrecht aber weder auf der Aktiven- noch auf der Passivenseite Bestandteil des Nachlasses, sondern ist erst in seiner Funktion als Gegenleistung des Ãbernehmers der Liegenschaft relevant. Richtig bemessen ist hingegen die HÃ¶he der Kapitalschuld von Fr. 1Â220Â000.00. Sie ergibt sich aus den beiden HypothekenauszÃ¼gen der Bank 1 vom 31. Oktober 1988 und vom 2. Dezember 1988 im Anhang zum Steuerinventar (Urk. 7/16), die je eine Schuld von Fr. 1Â170Â000.00 und von Fr. 50Â000.00 bescheinigen. GemÃ¤ss dem zutreffenden Hinweis der Beschwerdegegnerin (Urk. 6 S. 2) handelt es sich beim hÃ¶heren, von der BeschwerdefÃ¼hrerin angenommenen Betrag von Fr. 1Â400Â000.00 (vgl. Urk. 1 S. 2, Urk. 3/I und Urk. 13 S. 2) um die HÃ¶he der fÃ¼r die Schulden geleisteten Sicherheiten, wie der eingereichten Sicherungsabrede zwischen D.___ und der Bank 2 vom 13. Januar 2000 zu entnehmen ist (Urk. 3/1/3).</w:t>
      </w:r>
    </w:p>
    <w:p>
      <w:r>
        <w:t>2.5.3Â Â  Bei der Berechnung des Verkehrswertes des bebauten GrundstÃ¼cks Kat. Nr. aa addierte die Beschwerdegegnerin zum GebÃ¤udeversicherungswert gemÃ¤ss der SchÃ¤tzungsanzeige vom 15. April 1986 (Urk. 7/9) in der HÃ¶he von Fr. 1Â281Â000.00 einen Landwert von Fr. 396.00/m2, was bei einer FlÃ¤che von 1Â426 m2 einen Landwert von Fr. 564Â696.00 ergibt (vgl. Urk. 2/2). Den Landwert entnahm sie dem Bodenpreismodell des Statistischen Amtes des Kantons ZÃ¼rich fÃ¼r die Gemeinde Y.___ (Urk. 7/44.2); die Zahl von Fr. 396.00/m2 stellt den Median-SchÃ¤tzwert des Jahres 1989 dar. Der von der Beschwerdegegnerin angenommene Landwert des unbebauten GrundstÃ¼cks Kat. Nr. bb in der HÃ¶he von Fr. 519Â552.00 basiert auf demselben Modell (Urk. 20), und der Wert des Bienenhauses von Fr. 4Â100.00 auf diesem GrundstÃ¼ck ist der HandÃ¤nderungsanzeige vom 26. Januar 1989 entnommen (Urk. 7/15). FÃ¼r das Landwirtschaftsland Kat. Nr. cc (Fr. 2Â080.00) und Kat. Nr. dd (Fr. 17Â080.00) hat die Beschwerdegegnerin einen Wert von Fr. 20.00/m2 eingesetzt und beruft sich dabei auf Vergleichszahlen in der Gemeinde Y.___ (Urk. 7/45.3 und Urk. 7/45.5). Der Wert des Speichers von Fr. 12Â400.00 auf dem GrundstÃ¼ck Kat. Nr. cc entspricht wiederum dem GebÃ¤udeversicherungswert in der HandÃ¤nderungsanzeige vom 26. Januar 1989 (Urk. 7/15).</w:t>
      </w:r>
    </w:p>
    <w:p>
      <w:r>
        <w:t>Â Â Â Â Â Â Â Â  Der Verkehrswertberechnung der in den Jahren 1975 und 1977 als ErbvorbezÃ¼ge geschenkten GrundstÃ¼cke legte die Beschwerdegegnerin ebenfalls das Bodenpreismodell des Statistischen Amtes des Kantons ZÃ¼rich fÃ¼r die Gemeinde Y.___ zugrunde (vgl. Urk. 20); bei den Werten von Fr. 96.00/m2 und Fr. 95.00/m2 handelt es sich indessen um die Modellwerte jener Schenkungsjahre 1975 und 1977. FÃ¼r die SchÃ¤tzung des WaldgrundstÃ¼cks Kat. Nr. ee schliesslich, das B.___ kurz vor dem Tod seines Vater erhalten hatte, stand der Beschwerdegegnerin abermals ein Vergleichswert des Jahres 1989 - Fr. 3.70/m2 - zur VerfÃ¼gung (Urk. 7/45.6).</w:t>
      </w:r>
    </w:p>
    <w:p>
      <w:r>
        <w:t>2.5.4Â Â  Von vornherein nicht richtig ist, dass die Beschwerdegegnerin die GrundstÃ¼cke, die in den Jahren 1975 und 1977 an den Ã¤lteren Sohn und die Tochter Ã¼bereignet worden waren, zum damaligen Wert angerechnet hat. GestÃ¼tzt auf die vorstehenden rechtlichen ErwÃ¤gungen (E. 2.4.3) ist nÃ¤mlich vielmehr ebenfalls der Verkehrswert zur Zeit des Erbganges beziehungsweise zur Zeit der Teilung (vgl. Art. 617 ZGB) massgebend. Aufgrund dieser ErwÃ¤gungen steht zudem fest, dass die Anrechnung auch nicht zum Betrag von Fr. 25.00/m2 erfolgen darf, der in den AbtretungsvertrÃ¤gen festgelegt worden war (Urk. 7/24 und Urk. 7/19).</w:t>
      </w:r>
    </w:p>
    <w:p>
      <w:r>
        <w:t>Â Â Â Â Â Â Â Â  Allerdings erscheinen vorliegendenfalls die Werte gemÃ¤ss dem Bodenpreismodell des Statistischen Amtes des Kantons ZÃ¼rich ebenfalls nicht ausreichend zuverlÃ¤ssig und nachvollziehbar, und zwar weder fÃ¼r die Ermittlung der Verkehrswerte der 1975 und 1977 geschenkten GrundstÃ¼cke noch fÃ¼r die GrundstÃ¼cke Kat. Nr. bb und Kat. Nr. aa. Wohl hat das Bundesgericht festgehalten, der an sich als Verkehrswert massgebende Verkaufswert, den eine Liegenschaft im normalen GeschÃ¤ftsverkehr besitze, setze eine konkrete und aktuelle LiegenschaftsschÃ¤tzung voraus, weshalb diese Bewertungsmethode fÃ¼r die Ermittlung des Zusatzleistungsanspruchs nicht praktikabel sei und der zusatzleistungsrechtliche Verkehrswert sich auf geeignete anderweitige SchÃ¤tzungswerte zu stÃ¼tzen habe (Urteil 8C_849/2008 vom 16. Juni 2009, E. 6.3.4). Als solche geeignete anderweitige Methode hat das Bundesgericht neben dem bereits im Gesetz genannten Repartitionswert (Art. 17 Abs. 6 ELV; Urteil des Bundesgerichts P 31/01 vom 13. Dezember 2001, E. 2a) im Falle einer bebauten Liegenschaft etwa das Abstellen auf das Mittel zwischen dem Steuerwert und dem GebÃ¤udeversicherungswert, wie es im Kanton Thurgau praktiziert wird, als in der Regel sachgerecht beurteilt (Urteil 8C_849/2008 vom 16. Juni 2009, E. 6.3.4). Das Bundesgericht gelangte aber auch schon zur Beurteilung, diese Berechnungsmethode fÃ¼hre im konkreten Fall nicht ohne Weiteres zu einem vertretbaren Ergebnis, und hielt deshalb eine konkrete rÃ¼ckwirkende LiegenschaftsschÃ¤tzung fÃ¼r erforderlich (Urteil P 49/05 vom 9. Juni 2006, E. 2.2 und E. 2.3).</w:t>
      </w:r>
    </w:p>
    <w:p>
      <w:r>
        <w:t>Â Â Â Â Â Â Â Â  Eine solche konkrete SchÃ¤tzung ist auch im vorliegenden Fall erforderlich. Das Bodenpreismodell und die zur Plausibilisierung von der Beschwerdegegnerin herangezogenen wenigen HandÃ¤nderungen in der Gemeinde Y.___ (vgl. Urk. 7/45.1, Urk. 7/45.2, Urk. 7/45.4, Urk. 7/45.7 und Urk. 7/45.8) vermÃ¶gen nÃ¤mlich zumindest ohne ÃberprÃ¼fung durch eine Fachperson im Bereich der ImmobilienschÃ¤tzung den bundesgerichtlichen Kriterien an eine fachgerechte Bewertung nicht zu genÃ¼gen. Denn gemÃ¤ss dem zutreffenden Hinweis der BeschwerdefÃ¼hrerin (Urk. 1 S. 2) und gemÃ¤ss einem Auszug aus derselben Statistik-Internetseite, auf die sich die Beschwerdegegnerin beruft, waren in Y.___ zur massgebenden Zeit tatsÃ¤chlich nur ganz wenige HandÃ¤nderungen in Bezug auf Wohnbauland zu verzeichnen und insbesondere ist fÃ¼r das ganze Jahrzehnt 1985 bis 1995 nur ein einziger Durchschnittspreis angegeben, nÃ¤mlich Fr. 120.00 pro m2 im Jahr 1985 aus drei VerkÃ¤ufen (Urk. 21). Angesichts dieser bescheidenen Datenlage, die auch durch die beigebrachten wenigen HandÃ¤nderungsanzeigen nicht wesentlich verbessert wird, sind die Zahlen im genannten Bodenpreismodell fÃ¼r den in Statistik und SchÃ¤tzung nicht bewanderten Laien nicht plausibel, und namentlich ist fÃ¼r den Laien nicht erklÃ¤rbar, wie es zum hohen Preissprung von Fr. 278.00/m2 im Jahr 1988 auf Fr. 396.00/m2 im Jahr 1989 kommt.</w:t>
      </w:r>
    </w:p>
    <w:p>
      <w:r>
        <w:t>2.5.5Â Â  Es ist daher geboten, dass die Beschwerdegegnerin den 1988/1989 gegebenen Verkehrswert der Liegenschaften, die zum Nachlass gehÃ¶ren, einschliesslich der Liegenschaften, welche den Nachkommen von A.___ vor dessen Tod Ã¼bereignet worden sind, durch eine fÃ¼r SchÃ¤tzungen von Liegenschaften nach allgemein anerkannten Methoden (vgl. Urteil des Bundesgerichts P 48/04 vom 22. Februar 2005, E. 2) spezialisierte Fachperson bestimmen lÃ¤sst. Dabei rechtfertigt es sich, dass sÃ¤mtliche Liegenschaften in die SchÃ¤tzung einbezogen werden, die unbebauten und auch nicht bebaubaren (Landwirtschaft, Wald) deshalb, weil die Vergleichszahlen in der Gemeinde Y.___ nicht reprÃ¤sentativ sind.</w:t>
      </w:r>
    </w:p>
    <w:p>
      <w:r>
        <w:rPr>
          <w:b/>
        </w:rPr>
        <w:t>E. 2.6</w:t>
      </w:r>
    </w:p>
    <w:p>
      <w:r>
        <w:t>2.6.1Â Â  Die SchÃ¤tzung wird auch relevant sein fÃ¼r die Bestimmung der HÃ¶he des kapitalisierten Wohnrechts, das die BeschwerdefÃ¼hrerin als Gegenleistung fÃ¼r die Ãberlassung der Liegenschaften an die Nachkommen erhalten hat. Hier ist nach dem massgebenden Recht, wie es seit 1999 in Kraft ist (vgl. E. 1.3), vom Marktmietwert im Zeitpunkt der VerÃ¤usserung der Liegenschaft, also im Januar 1989, auszugehen (vgl. Urteil des Bundesgerichts P 49/05 vom 9. Juni 2006, E. 4.1) und dieser ist alsdann nach den Kapitalisierungstabellen der EidgenÃ¶ssischen Steuerverwaltung zu kapitalisieren. Die BeschwerdefÃ¼hrerin mit Geburtsdatum 1927 (vgl. Urk. 7/34 S. 4) war im Januar 1989 mehr als 61 1/2 Jahre alt, weshalb der Tabellenfaktor fÃ¼r das Alter 62 heranzuziehen ist (vgl. Anhang 9.3 der Wegleitung des Bundesamtes fÃ¼r Sozialversicherungen [BSV] Ã¼ber die ErgÃ¤nzungsleistungen zur AHV und IV [WEL; Stand 1. Januar 2012]). Dieser Faktor belÃ¤uft sich fÃ¼r Frauen gemÃ¤ss der Tabelle 1991 auf 53,2 (vgl. Anhang zu Urk. 7/38), wie die Beschwerdegegnerin zutreffend bestimmt hat (vgl. Urk. 2/2).</w:t>
      </w:r>
    </w:p>
    <w:p>
      <w:r>
        <w:t>Â Â Â Â Â Â Â Â  WÃ¤hrenddem die Beschwerdegegnerin von einer Monatsmiete von Fr. 1Â200.00 ausging, liess die BeschwerdefÃ¼hrerin auf jeden Fall in der Einspracheschrift noch vorbringen, die Monatsmiete sei auf Fr. 1Â850.00 zu erhÃ¶hen (Urk. 7/43 S. 2). Wie es sich damit verhÃ¤lt, wird im Rahmen der anzuordnenden SchÃ¤tzung noch zu prÃ¼fen sein. Dabei sind die Nebenkosten wie Strom, Wasser und Abfall fÃ¼r den Fall, dass die BeschwerdefÃ¼hrerin gemÃ¤ss den Vorbringen in der Einsprache dafÃ¼r nicht selber aufzukommen hatte (vgl. Urk. 7/43 S. 2), entgegen der Auffassung der Beschwerdegegnerin im angefochtenen Einspracheentscheid (Urk. 2/1 S. 2) durchaus in die Kapitalisierung des Wohnrechts einzubeziehen; als Mietzins ist diesfalls der Brutto- und nicht der Nettomietzins einzusetzen.</w:t>
      </w:r>
    </w:p>
    <w:p>
      <w:r>
        <w:t>Â Â Â Â Â Â Â Â  Des Weiteren ist darauf hinzuweisen, dass das Wohnrecht zwar im Februar 2000 als Dienstbarkeit gelÃ¶scht wurde (vgl. Urk. 7/17), dass die Tochter der BeschwerdefÃ¼hrerin jedoch plausibel dartat, dass dies deshalb geschehen sei, weil der Sohn D.___ fÃ¼r die BeschwerdefÃ¼hrerin in einem andern Teil des Wohnhauses - es handelt sich gemÃ¤ss Steuerinventar um ein Mehrfamilienhaus (vgl. Urk. 7/16 S. 9) - eine altersgerechte Wohnung ausgestattet habe, und dass die Mutter dort bis zu ihrem Eintritt ins Heim im Jahr 2009 gelebt habe (vgl. Urk. 1 S. 2, Urk. 3/I und Urk. 13 S. 3). Unter diesen UmstÃ¤nden kann die LÃ¶schung der Dienstbarkeit nicht als zusatzleistungsrelevanter Verzicht auf das lebenslange Wohnrecht eingestuft werden (vgl. Urteil des Bundesgerichts 9C_202/2009 vom 19. Oktober 2009, E. 5.1). Ebenfalls kein solcher Verzicht ist in der Aufgabe des faktischen Wohnrechts beim Umzug der BeschwerdefÃ¼hrerin ins Heim zu erblicken. Denn nach der hÃ¶chstrichterlichen Rechtsprechung ist das kapitalisierte Wohnrecht wohl in seiner Eigenschaft als Gegenleistung bei der VerÃ¤usserung einer Liegenschaft zu berÃ¼cksichtigen, nicht aber als VermÃ¶genswert, der als VerzichtvermÃ¶gen angerechnet werden darf (BGE 122 V 394 E. 3-5 und E. 6). Des Weiteren darf der Gegenwert eines aus gesundheitlichen GrÃ¼nden aufgegebenen Wohnrechts bei der Bemessung der ErgÃ¤nzungsleistung rechtsprechungsgemÃ¤ss auch nicht als Einkommen angerechnet werden (vgl. BGE 99 V 110 und den Hinweis im Urteil des Bundesgerichts P 43/06 vom 11. April 2007, E. 4). Insoweit ist die Auffassung der Beschwerdegegnerin im angefochtenen Einspracheentscheid (Urk. 2/1 S. 2) zu korrigieren.</w:t>
      </w:r>
    </w:p>
    <w:p>
      <w:r>
        <w:t>2.6.2Â Â  Soweit die Tochter Ã¼berdies geltend macht, die Nachkommen hÃ¤tten der BeschwerdefÃ¼hrerin auch die KrankenkassenprÃ¤mien bezahlt (Urk. 7/43 S. 2), so wÃ¤re auch diese Position entgegen der Betrachtungsweise der Beschwerdegegnerin (Urk. 2/1 S. 2) relevant bei der Bemessung der Gegenleistung fÃ¼r die Ãberlassung der GrundstÃ¼cke (vgl. JÃ¶hl, a.a.O., S. 1807 N 234).</w:t>
      </w:r>
    </w:p>
    <w:p>
      <w:r>
        <w:t>2.7Â Â Â Â  Schliesslich kann anhand der vorhandenen Unterlagen nicht zweifelsfrei beantwortet werden, ob die zur Diskussion stehenden GrundstÃ¼cke oder ein Teil davon unter die Vorschrift in Art. 17 Abs. 5 Satz 2 ELV fallen, wonach der Verkehrswert nicht zur Anwendung gelangt, wenn von Gesetzes wegen ein Rechtsanspruch auf den Erwerb zu einem tieferen Wert besteht. Angesprochen sind hier die Regelungen im Bundesgesetz Ã¼ber das bÃ¤uerliche Bodenrecht (BGBB; vgl. Urteil des Bundesgerichts 9C_928/2011 vom 9. Juli 2012). Bei deren Anwendbarkeit hÃ¤tte die mit der SchÃ¤tzung beauftragte Fachperson zusÃ¤tzlich die nach diesem Gesetz massgebenden GrundstÃ¼ckswerte zu ermitteln (vgl. das Vorgehen gemÃ¤ss der Verordnung Ã¼ber das bÃ¤uerliche Bodenrecht [VBB]).</w:t>
      </w:r>
    </w:p>
    <w:p>
      <w:r>
        <w:t>2.8Â Â Â Â  Damit ist die Beschwerde in dem Sinne gutzuheissen, dass der angefochtene Einspracheentscheid vom 27. Januar 2011 aufzuheben und die Sache an die Beschwerdegegnerin zurÃ¼ckzuweisen ist, damit diese die erforderlichen AbklÃ¤rungen im Sinne der ErwÃ¤gungen tÃ¤tige und hernach Ã¼ber den Anspruch der BeschwerdefÃ¼hrerin auf Zusatzleistungen neu verfÃ¼ge.</w:t>
      </w:r>
    </w:p>
    <w:p>
      <w:r>
        <w:t>Â Â Â Â Â Â Â Â  Bei diesem Ausgang des Verfahrens ist auf die einzelnen Einkommens- und Ausgabenpositionen im angefochtenen Einspracheentscheid noch nicht nÃ¤her einzugehen; diesbezÃ¼glich bleiben der BeschwerdefÃ¼hrerin nach dem Erlass der neuen VerfÃ¼gung alle Rechte gewahrt. Hinzuweisen ist einstweilen lediglich darauf, dass die BeschwerdefÃ¼hrerin gemÃ¤ss den Vorbringen in der Einspracheschrift Ende Mai 2010 in ein anderes Heim umgezogen ist, wo sie hÃ¶here Taxen zu bezahlen hat (vgl. Urk. 7/43 S. 2). Eine solche VerÃ¤nderung ist gestÃ¼tzt auf Art. 25 Abs. 1 lit. c und Abs. 2 lit. b ELV bereits wÃ¤hrend des laufenden Bezugsjahres zu berÃ¼cksichtigen und ist somit entgegen der Auffassung der Beschwerdegegnerin (Urk. 2/1 S. 2) relevant.</w:t>
      </w:r>
    </w:p>
    <w:p>
      <w:r>
        <w:t>Das Gericht erkennt:</w:t>
      </w:r>
    </w:p>
    <w:p>
      <w:r>
        <w:t>1.Â Â Â Â Â Â Â Â  Die Beschwerde wird in dem Sinne gutgeheissen, dass der angefochtene Einspracheentscheid vom 27. Januar 2011 aufgehoben und die Sache an die Gemeinde Y.___, DurchfÃ¼hrungsstelle fÃ¼r Zusatzleistungen zur AHV/IV, zurÃ¼ckgewiesen wird, damit diese die erforderlichen AbklÃ¤rungen im Sinne der ErwÃ¤gungen tÃ¤tige und hernach Ã¼ber den Anspruch der BeschwerdefÃ¼hrerin auf Zusatzleistungen neu verfÃ¼ge.</w:t>
      </w:r>
    </w:p>
    <w:p>
      <w:r>
        <w:t>2.Â Â Â Â Â Â Â Â  Das Verfahren ist kostenlos.</w:t>
      </w:r>
    </w:p>
    <w:p>
      <w:r>
        <w:t>3.Â Â Â Â Â Â Â Â  Zustellung gegen Empfangsschein an:</w:t>
      </w:r>
    </w:p>
    <w:p>
      <w:r>
        <w:t>- C.___ unter Beilage je einer Kopie von Urk. 18-21</w:t>
      </w:r>
    </w:p>
    <w:p>
      <w:r>
        <w:t>- Gemeinde Y.___ unter Beilage einer Kopie von Urk. 18 und Urk. 21</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