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ZL.2011.00006 vom 21. März 2012</w:t>
      </w:r>
    </w:p>
    <w:p>
      <w:r>
        <w:t>ZH Sozialversicherungsgericht, 2012-03-21, DE</w:t>
      </w:r>
    </w:p>
    <w:p>
      <w:r>
        <w:rPr>
          <w:b/>
        </w:rPr>
        <w:t xml:space="preserve">Quelle: </w:t>
      </w:r>
      <w:r>
        <w:t>https://mcp.opencaselaw.ch/entscheid/zh_sozialversicherungsgericht_ZL.2011.00006</w:t>
      </w:r>
    </w:p>
    <w:p>
      <w:r>
        <w:t>FR: ZH_SOZIALVERSICHERUNGSGERICHT ZL.2011.00006 du 21 mars 2012</w:t>
      </w:r>
    </w:p>
    <w:p>
      <w:r>
        <w:t>IT: ZH_SOZIALVERSICHERUNGSGERICHT ZL.2011.00006 del 21 marzo 2012</w:t>
      </w:r>
    </w:p>
    <w:p>
      <w:pPr>
        <w:pStyle w:val="Heading2"/>
      </w:pPr>
      <w:r>
        <w:t>Erwägungen</w:t>
      </w:r>
    </w:p>
    <w:p>
      <w:r>
        <w:rPr>
          <w:b/>
        </w:rPr>
        <w:t>E. 2</w:t>
      </w:r>
    </w:p>
    <w:p>
      <w:r>
        <w:t>2.1Â Â Â Â  Nach der Rechtsprechung des Bundesgerichts gilt die formelle Rechtkraft einer VerfÃ¼gung Ã¼ber ein DauerrechtsverhÃ¤ltnis nicht voraussetzungslos. Diese beschrÃ¤nkt sich vielmehr auf den Sachverhalt und die Rechtslage zur Zeit des VerfÃ¼gungserlasses.</w:t>
      </w:r>
    </w:p>
    <w:p>
      <w:r>
        <w:t>Â Â Â Â Â Â Â Â  Nun kann aber der Sachverhalt schon zur Zeit des Erlasses der VerfÃ¼gung unrichtig festgestellt worden sein, oder er kann sich nachtrÃ¤glich Ã¤ndern. Ebenso kann die VerfÃ¼gung auf einer anfÃ¤nglich unrichtigen Rechtsanwendung beruhen oder die objektive Rechtslage kann sich nach VerfÃ¼gungserlass Ã¤ndern (BGE 127 V 13 E. 4a mit zahlreichen Hinweisen).</w:t>
      </w:r>
    </w:p>
    <w:p>
      <w:r>
        <w:t>2.2Â Â Â Â  Das Bundesgericht beantwortet die Frage nach der Tragweite der formellen Rechtskraft nach vier Gesichtspunkten: Erstens soll im Rahmen der prozessualen Revision (als Prinzip des Sozialversicherungsrechts zur Verwirklichung des materiellen Rechts; Art. 53 Abs. 1 des Bundesgesetzes Ã¼ber den Allgemeinen Teil des Sozialversicherungsrechts, ATSG) eine VerfÃ¼gung zurÃ¼ckgenommen werden kÃ¶nnen, die auf von Anfang an fehlerhaften tatsÃ¤chlichen Grundlagen beruht. Zweitens steht die formelle Rechtskraft einer VerfÃ¼gung Ã¼ber ein DauerrechtsverhÃ¤ltnis unter dem Vorbehalt, dass nach VerfÃ¼gungserlass keine erheblichen tatsÃ¤chlichen Ãnderungen eintreten, welche mittels Leistungs- (vgl. Art. 25 der Verordnung Ã¼ber die ErgÃ¤nzungsleistungen zur Alters-, Hinterlassenen- und Invalidenversicherung, ELV) oder Rentenrevision (vgl. Art. 17 ATSG) zu berÃ¼cksichtigen sind. Der Korrektur einer anfÃ¤nglich unrichtigen Rechtsanwendung unter Einschluss der unrichtigen Sachverhaltsfeststellung im Sinne der WÃ¼rdigung des Sachverhalts dient drittens die WiedererwÃ¤gung als allgemeiner Grundsatz des Sozialversicherungsrechts (Art. 53 Abs. 2 ATSG). Viertens ist zu beurteilen, wie es sich mit der formellen Rechtskraft einer VerfÃ¼gung bei nachtrÃ¤glicher Ãnderung der objektiven Rechtslage verhÃ¤lt (zum Ganzen: BGE 127 V 13 E. 4b mit zahlreichen Hinweisen). Dieser Tatbestand der nachtrÃ¤glichen rechtlichen Unrichtigkeit ist nicht gesetzlich geregelt (BGE 135 V 204 E. 5.1).</w:t>
      </w:r>
    </w:p>
    <w:p>
      <w:r>
        <w:t>2.3Â Â Â Â  Neue Tatsachen oder neue Beweismittel, welche eine prozessuale Revision der VerfÃ¼gungen vom 14. Oktober 2008 (Urk. 9/3, Urk. 9/6) zu begrÃ¼nden vermÃ¶chten, werden nicht geltend gemacht und ergeben sich auch nicht aus den Akten. Auch eine materielle Revision fÃ¤llt mangels einer massgebenden VerÃ¤nderung des rechtserheblichen Sachverhalts ausser Betracht. Ebenso wenig steht eine Anpassung der formell rechtskrÃ¤ftigen VerfÃ¼gung unter dem Gesichtspunkt einer zwischenzeitlich eingetretenen RechtsÃ¤nderung zur Diskussion. Zu prÃ¼fen bleibt einzig, ob die VerfÃ¼gungen vom 14. Oktober 2008 (Urk. 9/3, Urk. 9/6) in WiedererwÃ¤gung zu ziehen sind.</w:t>
      </w:r>
    </w:p>
    <w:p>
      <w:r>
        <w:rPr>
          <w:b/>
        </w:rPr>
        <w:t>E. 3</w:t>
      </w:r>
    </w:p>
    <w:p>
      <w:r>
        <w:t>3.1Â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 Das Erfordernis der zweifellosen Unrichtigkeit ist in der Regel erfÃ¼llt, wenn die gesetzeswidrige Leistungszusprechung aufgrund falscher oder unzutreffender Rechtsregeln erlassen wurde oder wenn massgebliche Bestimmungen nicht oder unrichtig angewandt wurden (Urteil des Bundesgerichts 9C_575/2007 vom 18. Oktober 2007, E. 2.2 mit Hinweisen).</w:t>
      </w:r>
    </w:p>
    <w:p>
      <w:r>
        <w:t>3.2Â Â Â Â  Im Rahmen der Zusprechung der Zusatzleistungen hatte die Beschwerdegegnerin die Mietzinsanteile der Versicherten zu berechnen, da zu den anrechenbaren Ausgaben gemÃ¤ss Art. 3 Abs. 1 lit. b des Bundesgesetzes Ã¼ber die ErgÃ¤nzungsleistungen zur Alters-, Hinterlassenen- und Invalidenversicherung (ELG) der Mietzins und die damit zusammenhÃ¤ngenden Nebenkosten gehÃ¶ren, wobei sich der jÃ¤hrliche HÃ¶chstbetrag bei Ehepaaren auf Fr. 15'000.-- und bei Einzelpersonen auf Fr. 13'200.-- beschrÃ¤nkt (Art. 10 Abs. 1 lit. b ELG).</w:t>
      </w:r>
    </w:p>
    <w:p>
      <w:r>
        <w:t>Â Â Â Â Â Â Â Â  Werden Wohnungen auch von Personen bewohnt, welche nicht in die EL-Berechnung miteinbezogen sind, ist der Mietzins gestÃ¼tzt auf Art. 16c Abs. 1 der Verordnung Ã¼ber die ErgÃ¤nzungsleistungen zur Alters-, Hinterlassenen- und Invalidenversicherung (ELV) auf die einzelnen Personen aufzuteilen. Die Mietzinsanteile der Personen, welche nicht in die EL-Berechnung eingeschlossen sind, werden bei der Berechnung der jÃ¤hrlichen ErgÃ¤nzungsleistungen ausser Betracht gelassen. Die Aufteilung hat grundsÃ¤tzlich zu gleichen Teilen zu erfolgen (Art. 16c Abs. 2 ELV). Der Zweck der Mietzinsaufteilung liegt darin, die effektiven Wohnkosten der nicht in die EL-Anspruchsberechnung einbezogenen Personen, die unentgeltlich in derselben Wohnung leben, auszuscheiden, damit die ErgÃ¤nzungsleistungen nicht auch fÃ¼r Mietanteile von nicht einbezogenen Personen aufkommen mÃ¼ssen (vgl. die ErlÃ¤uterungen des Bundesamtes fÃ¼r Sozialversicherung [BSV] zur Ãnderung der ELV auf den 1. Januar 1998, in: AHI 1998 S. 27 ff.; BGE 127 V 10 Erw. 5d).</w:t>
      </w:r>
    </w:p>
    <w:p>
      <w:r>
        <w:t>3.3Â Â Â Â  Die Beschwerdegegnerin verlangte mit RÃ¼ckerstattungsverfÃ¼gung vom 17. November 2010 (Urk. 16/2) insgesamt Fr. 7'868.-- zurÃ¼ck mit der BegrÃ¼ndung, die Mietzinse seien falsch berechnet worden. In der Zusatzleistungsberechnung sei den Versicherten jeweils 1/3 des Mietzinses als Ausgabe angerechnet worden. GemÃ¤ss Art. 10 Abs. 1 lit. b ELG betrage die maximal anrechenbare Miete fÃ¼r Ehepaare und Personen mit rentenberechtigten Waisen oder mit Kindern, die einen Anspruch auf eine Kinderrente begrÃ¼nden, Fr. 15'000.-- pro Jahr. Daher kÃ¶nne dem separat berechneten Kind nur noch ein Mietzinsabzug gewÃ¤hrt werden aus der Differenz zwischen dem maximalen Mietzinsabzug fÃ¼r Alleinstehende von Fr. 13'200.-- und dem maximalen Mietzinsabzug fÃ¼r Mehrpersonenhaushalte von Fr. 15'000.--, was vorliegend bedeute, es kÃ¶nne pro Kind nur noch Fr. 75.-- pro Monat berÃ¼cksichtigt werden (Urk. 16/2, Urk. 2).</w:t>
      </w:r>
    </w:p>
    <w:p>
      <w:r>
        <w:t>Â Â Â Â Â Â Â Â  DemgegenÃ¼ber vertrat die Mutter der Versicherten die Auffassung, dass diese Anrechnung der Differenz des Mietzinses zwischen dem Einpersonenhaushalt und einem Mehrpersonenhaushalt als Mietkosten nicht in Ãbereinstimmung mit der Gesetzgebung stÃ¼nden. GemÃ¤ss Art. 16c Abs. 1 ELV sei der Mietzins von Wohnungen, die auch von Personen bewohnt werden, welche nicht in die EL-Berechnung eingeschlossen seien, anteilsmÃ¤ssig aufzuteilen. GemÃ¤ss Abs. 2 habe die Aufteilung zu gleichen Teilen zu erfolgen, weshalb die ursprÃ¼ngliche Berechnung richtig gewesen sei (Urk. 1 S. 1 f.).</w:t>
      </w:r>
    </w:p>
    <w:p>
      <w:r>
        <w:t>3.4Â Â Â Â  Fest steht, dass die Beschwerdegegnerin wÃ¤hrend der fraglichen Zeit die Aufteilung des Mietzinses nach KÃ¶pfen vorgenommen hat. Dies ist in Anwendung von Art. 16 Abs. 1 lit. c ELV und aufgrund der konkreten VerhÃ¤ltnisse nicht zu beanstanden.</w:t>
      </w:r>
    </w:p>
    <w:p>
      <w:r>
        <w:t>Â Â Â Â Â Â Â Â  Nicht gefolgt werden kann jedoch der Neuberechnung der BeschwerdefÃ¼hrerin, welche sie zur RÃ¼ckerstattungsverfÃ¼gung vom 17. November 2010 veranlasste. Dies aus dem Grund, als dass die Beschwerdegegnerin fÃ¤lschlicherweise den Mietanteil in der gesonderten Anspruchsberechnung fÃ¼r das Kind einer rentenberechtigten Person, welches nicht beim rentenberechtigten Elternteil lebt, berÃ¼cksichtigt hat. Diesfalls wÃ¤re dem Kind nur die freie Quote des EL-Mietzinsmaximums des unterhaltspflichtigen RentenfalltrÃ¤gers und infolgedessen nur die freie Quote des EL-Mietzinsmaximums des unterhaltspflichtigen RentenfalltrÃ¤gers zuzuhalten, auch wenn der tatsÃ¤chliche kopfquotenmÃ¤ssige Mietanteil hÃ¶her wÃ¤re (vgl. ZL-Aktuell 02/2008). Vorliegend sind jedoch die Versicherten alleine rentenberechtigt, eine AnknÃ¼pfung an die Anspruchsberechtigung eines Elternteils fehlt hingegen, weshalb die in der RÃ¼ckforderungsverfÃ¼gung vorgenommene Berechnung der Beschwerdegegnerin nicht korrekt erfolgt ist. Die Beschwerdegegnerin hatte Ã¼bersehen, dass fÃ¼r den fraglichen Zeitraum die seltene Konstellation vorlag, wonach der Anspruch der BeschwerdefÃ¼hrer auf Zusatzleistungen auf der von ihnen bezogenen Waisenrenten basierte (ihr Vater verstarb am 12. April 2006, Urk. 9/20) und ihre Mutter aufgrund der im damaligen Zeitpunkt noch nicht abgelaufenen Karenzfrist nicht anspruchsberechtigt war.</w:t>
      </w:r>
    </w:p>
    <w:p>
      <w:r>
        <w:t>Â Â Â Â Â Â Â Â  Der Lehrmeinung folgend, wonach bei der Anspruchsermittlung von Waisen auf Zusatzleistungen der volle Mietzinsanteil zu berÃ¼cksichtigen ist (Carigiet/Koch, a.a.O., S. 132), ist deshalb die ursprÃ¼nglich von der Beschwerdegegnerin vorgenommene anteilsmÃ¤ssige Anrechnung des Mietzinses auf die Bewohner der Wohnung zum damaligen Zeitpunkt sicher nicht zweifellos unrichtig gewesen. Des Weiteren ist aus den damals gÃ¼ltigen Wegleitungen des Bundesamtes fÃ¼r Sozialversicherungen (BSV) Ã¼ber die ErgÃ¤nzungsleistungen zur AHV und IV (WEL) keine Weisung ersichtlich, wie diese vorgenannte Konstellation zu lÃ¶sen ist, weshalb eine anderslautende einheitliche Praxis nicht bestand, zumindest fÃ¼r den fraglichen Zeitraum nicht. DiesbezÃ¼glich bleibt ferner der Hinweis, dass in der aktuellen, ab 1. April 2011 gÃ¼ltigen Fassung der Wegleitung unter Ziffer 3143.06 darauf hingewiesen wird, dass in der Berechnung des Kindes, das in hÃ¤uslicher Gemeinschaft lebt, hÃ¶chstens das Mietzinsmaximum fÃ¼r Alleinstehende zu berÃ¼cksichtigen ist und dieses Maximum dann, wenn mehrere Kinder in derselben Gemeinschaft leben, nur einmal fÃ¼r alle Kinder zusammen zu berÃ¼cksichtigen ist.Â</w:t>
      </w:r>
    </w:p>
    <w:p>
      <w:r>
        <w:t>3.5Â Â Â Â  Nach dem Gesagten sind somit die Voraussetzung fÃ¼r die WiedererwÃ¤gung offensichtlich nicht erfÃ¼llt. Mit Blick auf die damalige Sach- und Rechtslage und insbesondere gestÃ¼tzt auf das Fehlen einer massgebenden Praxis der Mietzinsberechnung bei der sich hier darstellenden Konstellation, ist die ursprÃ¼ngliche Berechnung der Mietanteile durch die Beschwerdegegnerin vertretbar. Eine zweifellose Unrichtigkeit der Grundlage fÃ¼r die Berechnung der ErgÃ¤nzungsleistungen lag entsprechend nicht vor, weshalb fÃ¼r eine wiedererwÃ¤gungsweise Aufhebung der VerfÃ¼gungen vom 14. Oktober 2008 und den Erlass einer RÃ¼ckforderungsverfÃ¼gung kein Raum besteht.</w:t>
      </w:r>
    </w:p>
    <w:p>
      <w:r>
        <w:t>3.6Â Â Â Â Â Â Â Â  Zusammenfassend ist der Einspracheentscheid vom 19. Januar 2011 in Gutheissung der Beschwerde aufzuheben, da die Beschwerdegegnerin aus den vorgenannten GrÃ¼nden nicht wiedererwÃ¤gungsweise auf die rechtskrÃ¤ftigen VerfÃ¼gungen vom 14. Oktober 2008 zurÃ¼ckkommen durfte.</w:t>
      </w:r>
    </w:p>
    <w:p>
      <w:r>
        <w:t>4.Â Â Â Â Â Â  Den obsiegenden und vertretenen BeschwerdefÃ¼hrenden steht eine ProzessentschÃ¤digung zu, die nach der Bedeutung der Streitsache und der Schwierigkeit des Prozesses auf Fr. 900.-- (inklusive Barauslagen und Mehrwertsteuer) festzulegen und von der Beschwerdegegnerin zu bezahlen ist.</w:t>
      </w:r>
    </w:p>
    <w:p>
      <w:r>
        <w:t>Die Einzelrichterin erkennt:</w:t>
      </w:r>
    </w:p>
    <w:p>
      <w:r>
        <w:t>1.Â Â Â Â Â Â Â Â  In Gutheissung der Beschwerde wird der Einspracheentscheid der Gemeinde A.___, DurchfÃ¼hrungsstelle fÃ¼r Zusatzleistungen zur AHV/IV vom 19. Januar 2011 aufgehoben.</w:t>
      </w:r>
    </w:p>
    <w:p>
      <w:r>
        <w:t>2.Â Â Â Â Â Â Â Â  Das Verfahren ist kostenlos.</w:t>
      </w:r>
    </w:p>
    <w:p>
      <w:r>
        <w:t>3.Â Â Â Â Â Â Â Â  Die Beschwerdegegnerin wird verpflichtet, den BeschwerdefÃ¼hrenden eine ProzessentschÃ¤digung von Fr. 900.-- (inkl. Barauslagen und MWSt) zu bezahlen.</w:t>
      </w:r>
    </w:p>
    <w:p>
      <w:r>
        <w:t>4.Â Â Â Â Â Â Â Â Â Â  Zustellung gegen Empfangsschein an:</w:t>
      </w:r>
    </w:p>
    <w:p>
      <w:r>
        <w:t>- Pro Infirmis ZÃ¼rich</w:t>
      </w:r>
    </w:p>
    <w:p>
      <w:r>
        <w:t>- Gemeinde A.___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