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ZL.2010.00102 vom 8. März 2012</w:t>
      </w:r>
    </w:p>
    <w:p>
      <w:r>
        <w:t>ZH Sozialversicherungsgericht, 2012-03-08, DE</w:t>
      </w:r>
    </w:p>
    <w:p>
      <w:r>
        <w:rPr>
          <w:b/>
        </w:rPr>
        <w:t xml:space="preserve">Quelle: </w:t>
      </w:r>
      <w:r>
        <w:t>https://mcp.opencaselaw.ch/entscheid/zh_sozialversicherungsgericht_ZL.2010.00102</w:t>
      </w:r>
    </w:p>
    <w:p>
      <w:r>
        <w:t>FR: ZH_SOZIALVERSICHERUNGSGERICHT ZL.2010.00102 du 8 mars 2012</w:t>
      </w:r>
    </w:p>
    <w:p>
      <w:r>
        <w:t>IT: ZH_SOZIALVERSICHERUNGSGERICHT ZL.2010.00102 del 8 marzo 2012</w:t>
      </w:r>
    </w:p>
    <w:p>
      <w:pPr>
        <w:pStyle w:val="Heading2"/>
      </w:pPr>
      <w:r>
        <w:t>Erwägungen</w:t>
      </w:r>
    </w:p>
    <w:p>
      <w:r>
        <w:rPr>
          <w:b/>
        </w:rPr>
        <w:t>E. 3</w:t>
      </w:r>
    </w:p>
    <w:p>
      <w:r>
        <w:t>3.1Â Â Â Â  In Art. 17 Abs. 5 ELV werden fÃ¼r die Ermittlung des Verkehrswertes einer Liegenschaft keine eigentlichen Bewertungsregeln aufgestellt. Unter dem Verkehrswert wird der Verkaufswert (Marktpreis) verstanden, den eine Liegenschaft im normalen GeschÃ¤ftsverkehr besitzt (BGE 120 V 12 E. 1; AHI 1998 S. 273 f.). Massgebend ist der Verkehrswert der Liegenschaft zum VerÃ¤usserungszeitpunkt (BGE 113 V 195 E. 5c).</w:t>
      </w:r>
    </w:p>
    <w:p>
      <w:r>
        <w:t>3.2Â Â Â Â  GemÃ¤ss Ã¶ffentlich beurkundetem Kaufvertrag verÃ¤usserte der verstorbene Z.___ als AlleineigentÃ¼mer seine Liegenschaft an der B.___-Strasse in A.___ seinen Kindern C.___ und D.___ zu einem Verkaufspreis von Fr. 1'700'000.--. Dieser wurde von Seiten der KÃ¤uferschaft durch Ãbernahme des Namenschuldbriefes in der HÃ¶he von Fr. 1'200'000.-- zugunsten der ZÃ¼rcher Kantonalbank und durch Aufnahme eines verzinslichen Darlehens von Fr. 250'000.-- je Kind beim Vater bezahlt. Im gleichen Zug unterzeichnete Z.___ mit der KÃ¤uferschaft am 1. Januar 1995 einen Mietvertrag zu einem monatlichen Mietzins von Fr. 1Â890.-- (Urk. 11/20 = Urk. 5). Die Festsetzung des Kaufpreises beruhte dabei gemÃ¤ss Ziffer 13 des Kaufvertrages auf einer SchÃ¤tzung des ZÃ¼rcherischen HauseigentÃ¼merverbandes, dessen SchÃ¤tzungsbericht sich im Besitze aller Parteien befinde (Urk. 11/16).</w:t>
      </w:r>
    </w:p>
    <w:p>
      <w:r>
        <w:t>Â Â Â Â Â Â Â Â  Da dieser Bericht von der BeschwerdefÃ¼hrerin respektive ihren Nachkommen nicht (mehr) beigebracht werden konnte (Urk. 11/9), liess der neue MiteigentÃ¼mer C.___ eine VerkehrswertschÃ¤tzung durch E.___, eidgenÃ¶ssisch diplomierter Immobilienbewerter, per Stichtag 1. Dezember 1994 erstellen, welche am 7. Januar 2010 ausgefertigt wurde und einen Verkehrswert von Fr. 1'891'000.-- auswies (Urk. 11/17). Der Verkaufspreis lag damit Fr. 191'000.-- unter dem geschÃ¤tzten Verkehrswert, weshalb die Beschwerdegegnerin bei der Berechnung des Anspruchs auf Zusatzleistungen einen VermÃ¶gensverzicht in dieser HÃ¶he annahm (Urk. 2).</w:t>
      </w:r>
    </w:p>
    <w:p>
      <w:r>
        <w:t>3.3Â Â Â Â  Nach der vorstehenden Berechnung stand der Gegenleistung der Erwerber mit Fr. 1'700'000.-- die Leistung des VerÃ¤usserers von Fr. 1'891'000.-- gegenÃ¼ber. Nach der Rechtsprechung des Bundesgerichts wird eine Gegenleistung dann als angemessen betrachtet, wenn sie sich in einer Bandbreite von zirka 10 % zur Leistung bewegt (BGE 122 V 394 E. 5b). Vorliegend lag der vereinbarte Verkaufspreis lediglich 10,1 % unter dem am 7. Januar 2010 per 1. Dezember 1994 geschÃ¤tzten Verkehrswert und entsprechend innerhalb dieser Bandbreite. In Anwendung der vorgenannten Rechtsprechung ist folglich ein Verzicht zu verneinen, weshalb die Anrechnung eines VerzichtsvermÃ¶gens entfÃ¤llt, ebenso wie die BerÃ¼cksichtigung eines darauf anfallenden hypothetischen Ertrages und eines hypothetischen Verzehrs.</w:t>
      </w:r>
    </w:p>
    <w:p>
      <w:r>
        <w:t>3.4Â Â Â Â  Nach dem Gesagten ist deshalb nicht von einem Verzichtseinkommen in der HÃ¶he von Fr. 191'000.-- auszugehen und der Kaufpreis von Fr. 1'700'000.-- als angemessen zu taxieren. Dass die Bezahlung des vereinbarten Kaufpreises nicht ausgewiesen, das heisst, dass die Ãbertragung der Liegenschaft faktisch ohne Gegenleistung erfolgt wÃ¤re, ist ebenfalls nicht der Fall. In den Akten finden sich hierzu die BestÃ¤tigung der ZÃ¼rcher Kantonalbank Ã¼ber die Tilgung der Hypothekarschuld Valuta 28. Februar 1995 Ã¼ber Fr. 1'170'000.-- (Urk. 11/15) und die schriftlichen BestÃ¤tigungen der Amortisationszahlungen der Darlehensschulden von C.___ und D.___ (Urk. 11/11), welche offenbar mit den Mietzinsen gemÃ¤ss Mietvertrag von Z.___ (Urk. 11/20) verrechnet wurden und darÃ¼ber hinaus auch ihre ordnungsgemÃ¤sse BerÃ¼cksichtigung in den EL-Berechnungen der Beschwerdegegnerin fanden (Urk. 11/21-22). Damit ist erstellt, dass die Liegenschaft entgegen den AusfÃ¼hrungen der Beschwerdegegnerin mit Rechtspflicht und gleichwertiger Gegenleistung abgetreten wurde.</w:t>
      </w:r>
    </w:p>
    <w:p>
      <w:r>
        <w:t>4.Â Â Â Â Â Â  Nach dem Eintritt in ein Heim oder ein Spital hat eine Person mit Berechtigung auf ErgÃ¤nzungsleistungen gemÃ¤ss Art. 12 Abs. 2 ELG sechs Monate Zeit, sich fÃ¼r den Bezug von ErgÃ¤nzungsleistungen anzumelden. Sofern sÃ¤mtliche gesetzlichen Voraussetzungen erfÃ¼llt sind, besteht der Anspruch ab Beginn des Monats des Heim- oder Spitaleintritts.</w:t>
      </w:r>
    </w:p>
    <w:p>
      <w:r>
        <w:t>Der verstorbene Versicherte trat am 27. Juli 2009 ins Altersheim ein (Urk. 11/1, 11/21) und stellte das Gesuch um Zusatzleistungen am 28. Juli 2009 (Urk. 11/2/3). Entsprechend besteht der Anspruch zugunsten der Erbmasse des Verstorbenen auf Zusatzleistungen ab 1. Juli 2009. Dies ist seitens der Beschwerdegegnerin bei Erlass der neuen LeistungsverfÃ¼gung mit einzubeziehen.</w:t>
      </w:r>
    </w:p>
    <w:p>
      <w:r>
        <w:t>5.Â Â Â Â Â Â  GemÃ¤ss den obenstehenden ErwÃ¤gungen ist die Beschwerde unter Aufhebung des angefochtenen Einspracheentscheids vom 6. Oktober 2010 in dem Sinne gutzuheissen, als dass die Sache an die Beschwerdegegnerin zurÃ¼ckzuweisen ist, damit diese den Anspruch auf Zusatzleistungen zugunsten der Erbmasse des verstorbenen Z.___ fÃ¼r die Zeit ab 1. Juli 2009 ohne BerÃ¼cksichtigung des Verzichtseinkommens von Fr. 191'000.-- neu berechne und hernach verfÃ¼ge.</w:t>
      </w:r>
    </w:p>
    <w:p>
      <w:r>
        <w:t>Das Gericht erkennt:</w:t>
      </w:r>
    </w:p>
    <w:p>
      <w:r>
        <w:t>1.Â Â Â Â Â Â Â Â  Die Beschwerde wird in dem Sinne gutgeheissen, dass der angefochtene Einspracheentscheid vom 6. Oktober 2010 aufgehoben und die Sache an die Gemeinde A.___, DurchfÃ¼hrungsstelle fÃ¼r Zusatzleistungen zur AHV/IV, zurÃ¼ckgewiesen wird, damit diese den Anspruch zugunsten der Erbmasse des verstorbenen Z.___ auf Zusatzleistungen zur AHV/IV im Sinne der ErwÃ¤gungen neu berechne und hernach neu verfÃ¼ge.</w:t>
      </w:r>
    </w:p>
    <w:p>
      <w:r>
        <w:t>2.Â Â Â Â Â Â Â Â  Das Verfahren ist kostenlos.</w:t>
      </w:r>
    </w:p>
    <w:p>
      <w:r>
        <w:t>3.Â Â Â Â Â Â Â Â Â Â  Zustellung gegen Empfangsschein an:</w:t>
      </w:r>
    </w:p>
    <w:p>
      <w:r>
        <w:t>- Rechtsanwalt Prof. Dr. Hans Rainer KÃ¼nzle</w:t>
      </w:r>
    </w:p>
    <w:p>
      <w:r>
        <w:t>- Gemeinde A.___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