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ZL.2010.00070 vom 6. Februar 2012</w:t>
      </w:r>
    </w:p>
    <w:p>
      <w:r>
        <w:t>ZH Sozialversicherungsgericht, 2012-02-06, DE</w:t>
      </w:r>
    </w:p>
    <w:p>
      <w:r>
        <w:rPr>
          <w:b/>
        </w:rPr>
        <w:t xml:space="preserve">Quelle: </w:t>
      </w:r>
      <w:r>
        <w:t>https://mcp.opencaselaw.ch/entscheid/zh_sozialversicherungsgericht_ZL.2010.00070</w:t>
      </w:r>
    </w:p>
    <w:p>
      <w:r>
        <w:t>FR: ZH_SOZIALVERSICHERUNGSGERICHT ZL.2010.00070 du 6 février 2012</w:t>
      </w:r>
    </w:p>
    <w:p>
      <w:r>
        <w:t>IT: ZH_SOZIALVERSICHERUNGSGERICHT ZL.2010.00070 del 6 febbraio 2012</w:t>
      </w:r>
    </w:p>
    <w:p>
      <w:pPr>
        <w:pStyle w:val="Heading2"/>
      </w:pPr>
      <w:r>
        <w:t>Erwägungen</w:t>
      </w:r>
    </w:p>
    <w:p>
      <w:r>
        <w:rPr>
          <w:b/>
        </w:rPr>
        <w:t>E. 3</w:t>
      </w:r>
    </w:p>
    <w:p>
      <w:r>
        <w:t>3.1Â Â Â Â  Es ist zunÃ¤chst zu prÃ¼fen, wie es sich mit den Erlassvoraussetzungen fÃ¼r die RÃ¼ckforderung von Fr. 23'720.-- verhÃ¤lt.</w:t>
      </w:r>
    </w:p>
    <w:p>
      <w:r>
        <w:t>In den bei den Akten liegenden BerechnungsblÃ¤ttern vom 13. Dezember 2007, 1. Januar und 6. Mai 2008 sowie 1. Januar 2009 Ã¼ber den Anspruch ab 1. September 2007 (Urk. 23/50/9-10; Urk. 23/50/4-5; Urk. 23/49/4-5; Urk. 23/47/14-15; Urk. 23/47/9-10; Urk. 23/47/4-5; Urk. 23/45/4-5) ist unter der Rubrik Âandere Renten und Pensionen aller Art, Total pro JahrÂ bei beiden Versicherten ein Betrag von Fr. 622.-- aufgefÃ¼hrt. AnlÃ¤sslich der am 5. MÃ¤rz 2009 eingeleiteten periodischen ÃberprÃ¼fung (Urk. 23/43) gaben die Versicherten im entsprechenden Formular an, der Ehemann beziehe eine Rente der beruflichen Vorsorge (Urk. 23/40 Ziff. 7/3) und legten eine Kopie der Steuerbescheinigung fÃ¼r das Jahr 2008 bei (Urk. 23/42). Daraus geht hervor, dass im Jahr 2008 eine Pensionskassenrente von total Fr. 15'384.-- ausbezahlt wurde. Aufgrund der getrennten Berechnung wÃ¤re somit bei jedem der Eheleute ein jÃ¤hrlicher Betrag von Fr. 7'692.-- (Fr. 15'384.-- : 2) anzurechnen gewesen; bei den erfassten BetrÃ¤gen von Fr. 622.-- handelte es sich offenkundig um das monatliche Betreffnis. Dass die Pensionskassenrente bereits 2007 ausbezahlt wurde (damals im Betrag von Fr. 1'244.-- pro Monat, Urk. 23/31/4) ist unbestritten.</w:t>
      </w:r>
    </w:p>
    <w:p>
      <w:r>
        <w:t>3.2Â Â Â Â  Ãber die UmstÃ¤nde, wie und weshalb ein Monats- statt ein Jahresbetrag der Pensionskassenrente in die Berechnung einbezogen wurde, lÃ¤sst sich den Akten nur wenig entnehmen. Die Beschwerdegegnerin hat keine Unterlagen Ã¼ber die erstmalige Anmeldung eingereicht, aus denen ersichtlich werden kÃ¶nnte, weshalb ein monatlicher Betrag eingesetzt wurde. Insbesondere finden sich keine Unterlagen, die eine Falschangabe seitens der BeschwerdefÃ¼hrenden oder ihres Vertreters der pro Senectute (vgl. Urk. 23/50/1) belegen wÃ¼rden. Damit kann nicht ausgeschlossen werden, dass die Beschwerdegegnerin den korrekt gemeldeten Jahresbetrag falsch erfasste oder einen ebenfalls grundsÃ¤tzlich korrekt gemeldeten monatlichen Betrag - aus dem die Beschwerdegegnerin den Jahresbetrag hÃ¤tte errechnen kÃ¶nnen - ohne Umrechnung erfasste. Dies erscheint insbesondere angesichts der BegrÃ¼ndung der VerfÃ¼gung vom 22. Dezember 2009, womit das Erlassgesuch abgewiesen wurde, als naheliegend (Urk. 23/14): Darin machte die Beschwerdegegnerin geltend, dass die BeschwerdefÃ¼hrenden beziehungsweise ihr Vertreter der pro Senectute die ihnen zugestellten BerechnungsblÃ¤tter hÃ¤tten kontrollieren und dabei erkennen mÃ¼ssen, dass die Beschwerdegegnerin die Pensionskassenleistungen fÃ¤lschlicherweise im monatlichen Betrag erfasst hatte.</w:t>
      </w:r>
    </w:p>
    <w:p>
      <w:r>
        <w:t>3.3Â Â Â Â  Im Allgemeinen beruht die RÃ¼ckerstattungsforderung auf einer Meldepflichtverletzung oder einer rÃ¼ckwirkenden Ãnderung der wirtschaftlichen VerhÃ¤ltnisse. Es ist jedoch auch mÃ¶glich, dass, wie vorliegend anzunehmen ist, der DurchfÃ¼hrungsstelle ein Fehler unterlÃ¤uft. Auch in diesen FÃ¤llen ist eine rÃ¼ckwirkende Neuberechnung vorzunehmen, wenn die Voraussetzungen der WiedererwÃ¤gung gegeben sind. Die fehlende Meldepflichtverletzung ist erst bei PrÃ¼fung der Frage relevant, ob die Voraussetzungen fÃ¼r einen Erlass der RÃ¼ckforderung gegeben sind. Der fÃ¼r den Erlass notwendige gute Glaube ist zu verneinen, wenn die leistungsberechtigte Person bei Beachtung der ihr zumutbaren Aufmerksamkeit ohne Weiteres hÃ¤tte erkennen mÃ¼ssen, dass ein Berechnungsfehler vorliegt (vgl. Carigiet/Koch, ErgÃ¤nzungsleistungen zur AHV/IV, 2. Auflage, S. 106, sowie das dortige Beispiel). Dies ist auch vorliegend der Fall, ist doch aufgrund der Formulierung im Berechnungsblatt, wonach es sich um jÃ¤hrliche TotalbetrÃ¤ge von Pensionskassenrenten handeln muss, und dem Ã¤usserst geringen Betrag von Fr. 622.-- selbst bei oberflÃ¤chlicher Durchsicht augenfÃ¤llig, dass es sich um einen Fehler handeln muss. Es liegt deshalb keine leichte, sondern eine grobe NachlÃ¤ssigkeit vor. Der gute Glaube ist somit zu verneinen.</w:t>
      </w:r>
    </w:p>
    <w:p>
      <w:r>
        <w:rPr>
          <w:b/>
        </w:rPr>
        <w:t>E. 4</w:t>
      </w:r>
    </w:p>
    <w:p>
      <w:r>
        <w:t>4.1Â Â Â Â  Was die RÃ¼ckforderung von Fr. 1'705.-- und die BEFAS-Einstufung von X.___ angeht, so wurde diese unbestrittenermassen per 1. August 2009 von Stufe 4b auf Stufe 4a geÃ¤ndert (vgl. Arztbericht vom 13. September 2009; Urk. 23/22/3; sowie Urk. 23/24/1) und in der Rechnung des Pflegeheims vom 4. September 2009 erstmals verrechnet (vgl. Urk. 23/22/4). Nachdem die neue Einstufung auf dem Arztbericht vom 13. September 2009 beruhte und darin eine rÃ¼ckwirkende EinstufungsÃ¤nderung per 1. August 2009 vorgenommen wurde, fragt sich, wann die neue Einstufung hÃ¤tte gemeldet werden mÃ¼ssen und kÃ¶nnen: Aus den Rechnungen des Pflegeheims vom 4. September 2009 fÃ¼r den Monat August 2009 (23/22/4) und vom 6. Oktober 2009 fÃ¼r den Monat September 2009 (Urk. 23/22/2) geht zwar hervor, dass nun die Einstufung 4a gilt, es wurde jedoch weiterhin der der Stufe 4b entsprechende bisherige Betrag von Fr. 82.-- pro Tag in Rechnung gestellt (vgl. die Rechnung vom 6. April 2009; Urk. 23/24/5; anders jedoch die Rechnung vom 11. August 2009; Urk. 23/24/2, wo die Pflegetaxe fÃ¼r Stufe 4b im August 2009 Fr. 97.-- betrug). Es ist deshalb nachvollziehbar, dass die BeschwerdefÃ¼hrenden die neue Einstufung nicht sofort meldeten, Ã¤nderte sich doch auf den ersten Blick der geschuldete Pflegetaxenbetrag nicht. Zudem ist mangels Eingangsstempel der Beschwerdegegnerin oder anderer Kontrolle (vgl. die fÃ¼r den Zeitraum August bis November massgeblichen Urk. 23/22/1-2 und Urk. 23/22/4-5 sowie Urk. 23/24/1) nicht ersichtlich, wann genau die Rechnung vom 4. September 2009 - aus der die Ãnderung der Einstufung erstmals hervorging - der Beschwerdegegnerin eingereicht wurde.</w:t>
      </w:r>
    </w:p>
    <w:p>
      <w:r>
        <w:t>Damit ist eine Meldepflichtverletzung nicht Ã¼berwiegend wahrscheinlich erstellt. Auch das Vorliegen einer groben FahrlÃ¤ssigkeit ist angesichts der Aktenlage zu verneinen. Der gute Glaube beim Leistungsbezug ist damit fÃ¼r die RÃ¼ckforderung von Fr. 1'705.-- zu bejahen.</w:t>
      </w:r>
    </w:p>
    <w:p>
      <w:r>
        <w:rPr>
          <w:b/>
        </w:rPr>
        <w:t>E. 5</w:t>
      </w:r>
    </w:p>
    <w:p>
      <w:r>
        <w:t>5.1Â Â Â Â  Es ist zu prÃ¼fen, ob hinsichtlich der RÃ¼ckforderung von Fr. 1'705.-- auch eine grosse HÃ¤rte vorliegt (vgl. vorstehend E. 1.5).</w:t>
      </w:r>
    </w:p>
    <w:p>
      <w:r>
        <w:t>Eine grosse HÃ¤rte im Sinne von Art. 25 Abs. 1 ATSG liegt gemÃ¤ss Art. 5 Abs. 1 der Verordnung des Bundesgesetzes Ã¼ber den Allgemeinen Teil des Sozialversicherungsrechts (ATSV) vor, wenn die vom ELG anerkannten Ausgaben und die zusÃ¤tzlichen Ausgaben nach Art. 5 Abs. 4 ATSV die nach ELG anrechenbaren Einnahmen Ã¼bersteigen. FÃ¼r die Berechnung der anerkannten Ausgaben (und des allenfalls hinzuzurechnenden VermÃ¶gensteils) gelten die Regeln gemÃ¤ss Art. 5 Abs. 2 und 3 ATSV. Massgebend sind die wirtschaftlichen VerhÃ¤ltnisse, wie sie im Zeitpunkt vorliegen, in welchem Ã¼ber die RÃ¼ckforderung rechtskrÃ¤ftig entschieden ist (vgl. Art. 4 Abs. 2 ATSV). Dies ist vorliegend das Jahr 2009.</w:t>
      </w:r>
    </w:p>
    <w:p>
      <w:r>
        <w:t>5.2Â Â Â Â  FÃ¼r die Beurteilung der grossen HÃ¤rte werden pauschalierte AnsÃ¤tze herangezogen, wie sie fÃ¼r die Berechnung von ErgÃ¤nzungsleistungen gelten. Dabei werden die anrechenbaren jÃ¤hrlichen Ausgaben erhÃ¶ht um einen Betrag fÃ¼r persÃ¶nliche Ausgaben bei im Heim lebenden Personen von Fr. 4'800.-- (Art. 5 Abs. 2 lit. b ATSV) sowie um einen Betrag fÃ¼r Ehepaare von Fr. 12'000.-- (Art. 5 Abs. 4 lit. b ATSV). GestÃ¼tzt auf die BerechnungsblÃ¤tter der Beschwerdegegnerin fÃ¼r den Anspruch ab 1. August 2009, wonach X.___ jÃ¤hrliche Ausgaben von Fr. 112'432.-- und jÃ¤hrliche Einnahmen von Fr. 69'176.-- hatte, und bei seiner Ehefrau jÃ¤hrliche Ausgaben von Fr. 35'328.-- jÃ¤hrlichen Einnahmen von Fr. 32'406.-- gegenÃ¼berstanden (Urk. 23/18/4-5), ist die grosse HÃ¤rte auch ohne Einbezug der zusÃ¤tzlichen Ausgabenpauschalen gemÃ¤ss Art. 5 ATSV zu bejahen.</w:t>
      </w:r>
    </w:p>
    <w:p>
      <w:r>
        <w:t>6.Â Â Â Â Â Â</w:t>
      </w:r>
    </w:p>
    <w:p>
      <w:r>
        <w:t>6.1Â Â Â Â Â Â Â Â  Zusammenfassend ist festzuhalten, dass sich der angefochtene Einspracheentscheid der Beschwerdegegnerin vom 18. Juni 2010 betreffend Erlass der RÃ¼ckforderung von Fr. 1'705.-- (Urk. 2/2) nicht als rechtens erweist. Dies fÃ¼hrt zur Aufhebung dieses Einsprachentscheides und Gutheissung der Beschwerde in diesem Punkt.</w:t>
      </w:r>
    </w:p>
    <w:p>
      <w:r>
        <w:t>Nicht zu beanstanden ist hingegen der die RÃ¼ckforderung von Fr. 23'720.-- betreffende Einspracheentscheid vom 18. Juni 2010 (Urk. 2/1), was zur Abweisung der Beschwerde in diesem Punkt fÃ¼hrt.</w:t>
      </w:r>
    </w:p>
    <w:p>
      <w:r>
        <w:t>6.2Â Â Â Â  Liegt keine anwaltschaftliche Vertretung vor, besteht der Anspruch auf eine ParteientschÃ¤digung nur, wenn die Vertretung fÃ¼r das in Frage stehende Rechtsgebiet besonders qualifiziert ist und wenn nicht anzunehmen ist, dass sie kostenlos erfolgt (BGE 108 V 270 E. 2; ZAK 1991 S. 421 E. 2). Diese Voraussetzungen sind vorliegend nicht erfÃ¼llt, weshalb den BeschwerdefÃ¼hrenden keine ProzessentschÃ¤digung zuzusprechen ist.</w:t>
      </w:r>
    </w:p>
    <w:p>
      <w:r>
        <w:t>Das Gericht erkennt:</w:t>
      </w:r>
    </w:p>
    <w:p>
      <w:r>
        <w:t>1.a)Â Â Â Â Â  In Gutheissung der Beschwerde gegen den Einspracheentscheid der Sozialversicherungsanstalt des Kantons ZÃ¼rich, Ausgleichskasse, vom 18. Juni 2010 betreffend Nichterlass der RÃ¼ckforderung von Fr. 1'705.-- wird dieser aufgehoben, und es wird festgestellt, dass den BeschwerdefÃ¼hrenden die RÃ¼ckerstattung der im Jahr 2009 zuviel ausbezahlten Zusatzleistungen in HÃ¶he von Fr. 1'705.-- erlassen wird.</w:t>
      </w:r>
    </w:p>
    <w:p>
      <w:r>
        <w:t>Â  b)Â Â Â Â Â  Die Beschwerde gegen den Einspracheentscheid der Sozialversicherungsanstalt des Kantons ZÃ¼rich, Ausgleichkasse, vom 18. Juni 2010 betreffend Nichterlass der RÃ¼ckforderung von Fr. 23'720.-- wird abgewiesen.</w:t>
      </w:r>
    </w:p>
    <w:p>
      <w:r>
        <w:t>2.Â Â Â Â Â Â Â Â  Das Verfahren ist kostenlos.</w:t>
      </w:r>
    </w:p>
    <w:p>
      <w:r>
        <w:t>3.Â Â Â Â Â Â Â Â  Den BeschwerdefÃ¼hrenden wird keine ProzessentschÃ¤digung zugesprochen.</w:t>
      </w:r>
    </w:p>
    <w:p>
      <w:r>
        <w:t>4.Â Â Â Â Â Â Â Â Â Â  Zustellung gegen Empfangsschein an:</w:t>
      </w:r>
    </w:p>
    <w:p>
      <w:r>
        <w:t>- Z.___</w:t>
      </w:r>
    </w:p>
    <w:p>
      <w:r>
        <w:t>- A.___</w:t>
      </w:r>
    </w:p>
    <w:p>
      <w:r>
        <w:t>- B.___</w:t>
      </w:r>
    </w:p>
    <w:p>
      <w:r>
        <w:t>- Sozialversicherungsanstalt des Kantons ZÃ¼rich, Ausgleichskasse</w:t>
      </w:r>
    </w:p>
    <w:p>
      <w:r>
        <w:t>- Bundesamt fÃ¼r Sozialversicherungen</w:t>
      </w:r>
    </w:p>
    <w:p>
      <w:r>
        <w:t>- Sicherheitsdirektion Kanton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