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ZL.2010.00025 vom 31. Januar 2012</w:t>
      </w:r>
    </w:p>
    <w:p>
      <w:r>
        <w:t>ZH Sozialversicherungsgericht, 2012-01-31, DE</w:t>
      </w:r>
    </w:p>
    <w:p>
      <w:r>
        <w:rPr>
          <w:b/>
        </w:rPr>
        <w:t xml:space="preserve">Quelle: </w:t>
      </w:r>
      <w:r>
        <w:t>https://mcp.opencaselaw.ch/entscheid/zh_sozialversicherungsgericht_ZL.2010.00025</w:t>
      </w:r>
    </w:p>
    <w:p>
      <w:r>
        <w:t>FR: ZH_SOZIALVERSICHERUNGSGERICHT ZL.2010.00025 du 31 janvier 2012</w:t>
      </w:r>
    </w:p>
    <w:p>
      <w:r>
        <w:t>IT: ZH_SOZIALVERSICHERUNGSGERICHT ZL.2010.00025 del 31 gennaio 2012</w:t>
      </w:r>
    </w:p>
    <w:p>
      <w:pPr>
        <w:pStyle w:val="Heading2"/>
      </w:pPr>
      <w:r>
        <w:t>Erwägungen</w:t>
      </w:r>
    </w:p>
    <w:p>
      <w:r>
        <w:rPr>
          <w:b/>
        </w:rPr>
        <w:t>E. 3</w:t>
      </w:r>
    </w:p>
    <w:p>
      <w:r>
        <w:t>3.1Â Â Â Â  Vorab ist festzuhalten, dass gemÃ¤ss Art. 23 Abs. 1 ELV in zeitlicher Hinsicht nicht die EinkommensverhÃ¤ltnisse des Jahres 2009, sondern diejenigen des Jahres 2008 massgebend sind. Wenn die BeschwerdefÃ¼hrerin sich insbesondere auf die SteuererklÃ¤rung 2009 beruft und betreffend das Jahr 2008 nur einen Auszug aus der SteuererklÃ¤rung einreicht (Urk. 1 S. 6, 7; Urk. 3/7, Urk. 3/13), so verkennt sie, dass vorliegend in erster Linie die vollstÃ¤ndige SteuererklÃ¤rung 2008 von Bedeutung ist.</w:t>
      </w:r>
    </w:p>
    <w:p>
      <w:r>
        <w:t>Â Â Â Â Â Â Â Â  Soweit die BeschwerdefÃ¼hrerin geltend macht, es liege kein VermÃ¶gensverzicht vor, wenn das VermÃ¶gen der versicherten Person innert der letzten fÃ¼nf Jahre vor der Anmeldung um weniger als Fr. 30'000.- abgenommen hat, so ist darauf hinzuweisen, dass diese altrechtliche Praxis bereits per 1. Januar 1995 und dementsprechend auch Randziffer 2064 der Wegleitung des Bundesamtes fÃ¼r Sozialversicherung Ã¼ber die ErgÃ¤nzungsleistungen zur AHV und IV (WEL), auf die sie sich beruft (Urk. 1 S. 4), aufgehoben wurde (Carigiet, ErgÃ¤nzungsleistungen zur AHV/IV, 1.A. ZÃ¼rich 1995, S. 125).</w:t>
      </w:r>
    </w:p>
    <w:p>
      <w:r>
        <w:t>3.2Â Â Â Â  Ohne den am 21. MÃ¤rz 1985 zwischen den Ehegatten A.___ und ihren beiden Nachkommen abgeschlossenen Erbvertrag hÃ¤tte der Erbteil der BeschwerdefÃ¼hrerin (nebst ihrem Bruder) im damaligen Zeitpunkt dem zweitverstorbenen Elternteil gegenÃ¼ber die HÃ¤lfte des Nachlasses betragen (Art. 457 Abs. 2 ZGB). Nach Art. 471 ZGB betrÃ¤gt der Pflichtteil fÃ¼r Nachkommen 3/4, sodass sich der pflichtteilsgeschÃ¼tzte Erbanspruch von Sohn und Tochter auf je 3/8 (3/4 von 1/2) belaufen hÃ¤tte. Demnach verzichtete die BeschwerdefÃ¼hrerin mit ihrer Zustimmung zum Erbvertrag am 21. MÃ¤rz 1985 auf einen Erbanspruch von 3/8 des Nachlasses des zweitversterbenden Elternteils.</w:t>
      </w:r>
    </w:p>
    <w:p>
      <w:r>
        <w:t>Â Â Â Â Â Â Â Â  Fest steht nach der Aktenlage, dass seit dem Abschluss des Erbvertrags vom 21. MÃ¤rz 1985 (Urk. 15/44) verschiedene ErbfÃ¤lle eingetreten sind (Urk. 15/45 S. 1 und 2). Nachfolgend ist zu prÃ¼fen, ob und wenn ja, welche Auswirkungen der Tod der Mutter der BeschwerdefÃ¼hrerin am ___ 1993, derjenige ihres Bruders am ___ 2005 und letztlich derjenige des Vaters am ___ 2008 mit Bezug auf einen allfÃ¤lligen, der BeschwerdefÃ¼hrerin anzurechnenden VermÃ¶gensverzicht haben. Festzuhalten ist, dass die am Erbvertrag beteiligten Personen nach dem 1. Januar 1988 und damit unter der Geltung des neuen EhegÃ¼ter- und Erbrechts verstorben sind. Denn nach Art. 9a, 9d sowie Art. 15 SchlT/ZGB richten sich die gÃ¼terrechtliche Auseinandersetzung und die erbrechtlichen VerhÃ¤ltnisse nach dem im Zeitpunkt des Todes geltenden Recht.</w:t>
      </w:r>
    </w:p>
    <w:p>
      <w:r>
        <w:t>3.3Â Â Â Â  Da sich die Ehegatten A.___ ehevertraglich nicht nur gegenseitig den Vorschlag zugewiesen, sondern erbvertraglich auch als Alleinerben eingesetzt hatten (Urk. 15/44), hatte der Tod der Mutter am ___ 1993 keine erbrechtlichen Auswirkungen auf die Nachkommen, denn Vorschlagsanteil beziehungsweise die HÃ¤lfte der Errungenschaft nach neuem Eherecht sowie der Nachlass der Mutter gingen aufgrund der erwÃ¤hnten VertrÃ¤ge ohne Weiteres auf den Vater Ã¼ber. Weder gÃ¼ter- noch erbrechtlich gab es etwas zu regeln.</w:t>
      </w:r>
    </w:p>
    <w:p>
      <w:r>
        <w:t>Â Â Â Â Â Â Â Â  Anders prÃ¤sentierte sich die Situation hingegen beim Tod des Bruders der BeschwerdefÃ¼hrerin am ___ 2005. Dieser verstarb ohne Nachkommen zu hinterlassen. Seine gesetzlichen Erben waren sein Vater und - anstelle der vorverstorbenen Mutter - seine Schwester, die BeschwerdefÃ¼hrerin (Art. 458 Abs. 1 und 3 ZGB). Eltern erben je zur HÃ¤lfte (Art. 458 Abs. 2 ZGB). GemÃ¤ss Art. 471 Ziff. 2 ZGB betrÃ¤gt der Pflichtteil fÃ¼r jedes der Eltern die HÃ¤lfte. Unbekannt ist, ob der Bruder eine Ehefrau und ein Testament hinterlassen hat. Es kann daher nicht ausgeschlossen werden, dass bezÃ¼glich der HÃ¤lfte des Nachlasses des Bruders ein VermÃ¶gensverzicht vorliegt.</w:t>
      </w:r>
    </w:p>
    <w:p>
      <w:r>
        <w:t>3.4Â Â Â Â  Der Vater verstarb am ___ 2008 und hinterliess als einzige gesetzliche Erbin seine Tochter. Ohne Testament und Erbvertrag wÃ¤re die BeschwerdefÃ¼hrerin Alleinerbin des Nachlasses ihres Vaters gewesen, zumal der Bruder bereits kinderlos vorverstorben war (Art. 457 Abs. 3 ZGB). GemÃ¤ss Art. 471 ZGB betrÃ¤gt der Pflichtteil fÃ¼r Nachkommen 3/4, so dass der Vater Ã¼ber 1/4 seines Nachlasses testamentarisch frei hÃ¤tte verfÃ¼gen kÃ¶nnen. Am 18. Juni 2006 hatte der Vater einen Nachtrag zum Testament vom 2. Mai 1997 verfasst und mit dem Hinweis auf den Erbvertrag vom 21. MÃ¤rz 1985 testamentarisch festgehalten, da sein Sohn ohne Nachkommen verstorben sei, stelle er klar, dass die Nachkommen seiner Tochter (in erster Linie deren Sohn B.___) fÃ¼r den gesamten Nachlass als Erben eingesetzt seien und die Tochter vollumfÃ¤nglich die Nutzniessung erhalte (Urk. 15/44b). Mit dieser Bestimmung hat der Erblasser den gesetzlichen Pflichtteilsanspruch seiner Tochter verletzt, denn es ist zu beachten, dass ein allfÃ¤lliges Vorversterben des Sohnes in dem am 21. MÃ¤rz 1985 abgeschlossenen Erbvertrag in keiner Weise geregelt worden ist. In diesem Vertrag hatte die BeschwerdefÃ¼hrerin nur auf ihren Pflichtteil an der HÃ¤lfte des Nachlasses des zweitversterbenden Ehegatten, somit auf 3/8 verzichtet. Insofern ist der BeschwerdefÃ¼hrerin beizupflichten, dass der Vater den mit der Ehefrau und den Nachkommen abgeschlossenen Erbvertrag testamentarisch nicht einseitig ergÃ¤nzen konnte. Um nach dem Vorversterben seines Sohnes den ganzen Nachlass auf den Enkel B.___ zu Ã¼bertragen, wÃ¤re ein weiterer Erbvertrag zwischen ihm und der BeschwerdefÃ¼hrerin erforderlich gewesen. Ein solcher wurde jedoch nicht abgeschlossen. Da die BeschwerdefÃ¼hrerin ihren Pflichtteilsanspruch auf 3/8 der auf den vorverstorbenen Bruder entfallenden anderen HÃ¤lfte des Nachlasses des Vaters nicht geltend gemacht hat, ist von einer weiteren Verzichtshandlung auszugehen, die somit zu einem Verzicht auf insgesamt 3/4 des Nachlasses fÃ¼hrte.</w:t>
      </w:r>
    </w:p>
    <w:p>
      <w:r>
        <w:t>3.5Â Â Â Â  Nicht beigepflichtet werden kann der Argumentation der BeschwerdefÃ¼hrerin, da sie ihre erbrechtlichen AnsprÃ¼che zuerst in einem gerichtlichen Verfahren hÃ¤tte geltend machen mÃ¼ssen, kÃ¶nne nicht von einem VermÃ¶gensverzicht ausgegangen werden (Urk. 1 S. 5). Der Hinweis auf die Lehre (MÃ¼ller, a.a.O., S. 159) bezieht sich in erster Linie auf Unterhaltsforderungen. Vorliegend wÃ¤re ihrÂ  als einzige gesetzliche Erbin insbesondere nach dem Tod des Vaters die Durchsetzung des Pflichtteils gegenÃ¼ber dem Sohn B.___ zumutbar gewesen.</w:t>
      </w:r>
    </w:p>
    <w:p>
      <w:r>
        <w:t>3.6Â Â Â Â  Zusammenfassend ist festzuhalten, dass nach Abschluss des Erbvertrages verschiedene TodesfÃ¤lle eingetreten sind, deren erbrechtliche Auswirkungen mit Bezug auf die BeschwerdefÃ¼hrerin aufgrund des jeweiligen NachlassvermÃ¶gens zu ermitteln sind. Insgesamt liegt nicht nur ein VermÃ¶gensverzicht aufgrund des Erbvertrags im Umfang von 3/8 vor, sondern es kam zu weiteren Verzichtshandlungen, indem die BeschwerdefÃ¼hrerin ihr Erbe am Nachlass des Bruders (1/2), sofern dieser kein Testament verfasst hat, und ihren Pflichtteil (3/4) beim Tod des Vaters an dessen Nachlass nicht geltend gemacht hat. Ob die BeschwerdefÃ¼hrerin insgesamt auf den Betrag von Fr. 488'058.-- - wie von der Beschwerdegegnerin angenommen worden ist - oder auf mehr verzichtet hat, kann nach der derzeitigen Aktenlage nicht beurteilt werden.</w:t>
      </w:r>
    </w:p>
    <w:p>
      <w:r>
        <w:t>Â Â Â Â Â Â Â Â  Schliesslich weist die Beschwerdegegnerin auf einen Vertrag zwischen der BeschwerdefÃ¼hrerin und ihrem Sohn vom 29. Dezember 2008 hin, in dem die Versicherte die Verwaltung und Nutzniessung ihres Erbes aus dem Nachlass ihres Vaters F.___ an ihren Sohn B.___ abgegeben hat (Urk. 2 S. 1 und Urk. 15/36). Da der BeschwerdefÃ¼hrerin im Erbvertrag vom 21. MÃ¤rz 1985 die Nutzniessung an der HÃ¤lfte und im Nachtrag zum Testament vom 18. Juni 2006 am ganzen dem Enkel zugewiesenen Erbe eingerÃ¤umt worden ist, wird die Beschwerdegegnerin diese ErtrÃ¤ge anhand der Kurslisten der eidgenÃ¶ssischen Steuerverwaltung zu ermitteln und als Gegenleistung in Relation zum VerzichtsvermÃ¶gen zu setzen haben. Obwohl zwar geltend gemacht wird, es handle sich um ein Aktiendepot, das keine nennenswerte ErtrÃ¤ge abgeworfen habe, die zudem noch stetig gesunken seien (Schreiben vom 18. Oktober 2009; Urk. 3/6), ist nicht auszuschliessen, dass das Wertschriftendepot nicht immer nur aus Aktien bestanden hat.</w:t>
      </w:r>
    </w:p>
    <w:p>
      <w:r>
        <w:t>Â Â Â Â Â Â Â Â  Sodann ist aktenkundig, dass die BeschwerdefÃ¼hrerin nebst dem von der Beschwerdegegnerin berÃ¼cksichtigten Konto bei der Z.___ (Urk. 15/43 S. 1), Konti bei weiteren Banken wie G.___ (Urk. 15/34), H.___ (Urk. 15/29) und I.___ Bank besitzt (Urk. 15/9-14 und 9/C1), auf welches letztere Konto am 2. MÃ¤rz 2009 Fr. 12'516.-- aus der Lebensversicherung bei der J.___ Lebensversicherungsgesellschaft AG Ã¼berwiesen worden waren (Urk. 15/11 und 15/8). Die Beschwerdegegnerin wird daher auch der Frage nach dem per 31. Dezember 2008 bestehenden Kontostand nachzugehen und allenfalls den RÃ¼ckkaufswert der Lebensversicherung in ihre Berechnung des Zusatzleistungsanspruchs einzubeziehen haben (Urk. 15/31).</w:t>
      </w:r>
    </w:p>
    <w:p>
      <w:r>
        <w:t>3.7Â Â Â Â  Die Sache ist daher gestÃ¼tzt auf Â§ 26 Abs. 1 des Gesetzes Ã¼ber das Sozialversicherungsgericht, GSVGer) unter Aufhebung des Einspracheentscheides vom 4. Februar 2010 an die Beschwerdegegnerin zurÃ¼ckzuweisen, damit sie die HÃ¶he sÃ¤mtlicher VermÃ¶genswerte, insbesondere sÃ¤mtlicher Bankkontoguthaben, Ã¼ber welche die BeschwerdefÃ¼hrerin am 1. Januar 2009 verfÃ¼gte, und den Umfang allfÃ¤lliger VermÃ¶gensverzichte prÃ¼fe und hernach Ã¼ber den Anspruch der BeschwerdefÃ¼hrerin auf Zusatzleistungen neu entscheide. BezÃ¼glich des in Frage stehenden Verzichts auf den Pflichtteil an den NachlÃ¤ssen von Bruder und Vater ist auf den jeweiligen Zeitpunkt des Todes der Erblasser abzustellen. Dies gilt namentlich auch in Bezug auf die HÃ¶he des Nachlasses des im Jahr 2008 verstorbenen Vaters. Wohl ist zur Beurteilung der Frage, ob ein VermÃ¶gensverzicht beziehungsweise ob eine adÃ¤quate Gegenleistung fÃ¼r das verzichtete VermÃ¶gen vorliegt, grundsÃ¤tzlich auf das VerhÃ¤ltnis zwischen Leistung und Gegenleistung zur Zeit der EntÃ¤usserung abzustellen (vgl. Bundesgerichtsurteil 8C_849/2008 vom 16. Juni 2009 E. 6.3.1). Jedoch lÃ¤sst sich der Wert der der BeschwerdefÃ¼hrerin im Erbvertrag als Gegenleistung fÃ¼r den Verzicht auf das Erbrecht gegenÃ¼ber dem zweitversterbenden Elternteil zugestandenen Nutzniessung an den auf ihren Sohn B.___ Ã¼bergegangenen Nachlass erst auf den Zeitpunkt des Todes des Vaters hin ermitteln, als die HÃ¶he des Nachlasses fest stand und sich der Verzicht Ã¼berhaupt auswirkte.</w:t>
      </w:r>
    </w:p>
    <w:p>
      <w:r>
        <w:rPr>
          <w:b/>
        </w:rPr>
        <w:t>E. 4</w:t>
      </w:r>
    </w:p>
    <w:p>
      <w:r>
        <w:t>4.1Â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4.2Â Â Â Â  Der BeschwerdefÃ¼hrerin wurde RechtanwÃ¤ltin Nirmala Maya Dias als unentgeltliche Rechtsvertreterin bestellt (Urk. 12). Die ProzessentschÃ¤digung zulasten der Beschwerdegegnerin ist entsprechend der von RechtsanwÃ¤ltin Dias eingereichten Kostennote vom 23. August 2011 (Urk. 18) zu bemessen. In dieser macht sie einen Aufwand von 8.70 Stunden bei einem Stundenansatz von Fr. 260.-- sowie Barauslagen von Fr. 118.50, je zusÃ¤tzlich Mehrwertsteuer, insgesamt Fr. 2'561.55 geltend. Die EntschÃ¤digung ist jedoch aufgrund des gerichtsÃ¼blichen Stundenansatzes von Fr. 200.-- festzusetzen, sodass fÃ¼r den Stundenaufwand ein Betrag von Fr. 1'740.-- resultiert (8.70 Stunden Ã  Fr. 200.--). Zu entschÃ¤digen sind sodann die Barauslagen von Fr. 118.50. Mit Bezug auf die Mehrwertsteuer betrug der Ansatz bis zum 31. Dezember 2010 7,6 % und ab dem 1. Januar 2011 8 % (Urk. 18 S. 1). Entsprechend besteht zusÃ¤tzlich Anspruch auf Fr. 138.15 (7.6 % von Fr. 1'828.50 [8.50 Stunden x Fr. 200 + Fr. 117.50 Barauslagen]) und Fr. 3.30 (8 % von Fr. 41.-- [0.20 Stunden x Fr. 200.-- + Fr. 1.-- Barauslagen). Insgesamt ist die ProzessentschÃ¤digung auf Fr. 1'999.95 einschliesslich Barauslagen und Mehrwertsteuer festzusetzen.</w:t>
      </w:r>
    </w:p>
    <w:p>
      <w:r>
        <w:t>Das Gericht erkennt:</w:t>
      </w:r>
    </w:p>
    <w:p>
      <w:r>
        <w:t>1.Â Â Â Â Â Â Â Â  Die Beschwerde wird in dem Sinne gutgeheissen, dass der angefochtene Einspracheentscheid vom 4. Februar 2010 aufgehoben und die Sache an die Stadt Y.___,Â  zurÃ¼ckgewiesen wird, damit diese, nach erfolgter AbklÃ¤rung im Sinne der ErwÃ¤gungen, Ã¼ber den Anspruch auf Zusatzleistungen ab dem 1. Juli 2009 neu verfÃ¼ge.</w:t>
      </w:r>
    </w:p>
    <w:p>
      <w:r>
        <w:t>2.Â Â Â Â Â Â Â Â  Das Verfahren ist kostenlos.</w:t>
      </w:r>
    </w:p>
    <w:p>
      <w:r>
        <w:t>3.Â Â Â Â Â Â Â Â  Die Beschwerdegegnerin wird verpflichtet, der unentgeltlichen Rechtsvertreterin der BeschwerdefÃ¼hrerin, RechtsanwÃ¤ltin Nirmala Maya Dias, ZÃ¼rich, eine ProzessentschÃ¤digung von Fr. 1'999.95 (inkl. Barauslagen und MWSt) zu bezahlen.</w:t>
      </w:r>
    </w:p>
    <w:p>
      <w:r>
        <w:t>4.Â Â Â Â Â Â Â Â  Zustellung gegen Empfangsschein an:</w:t>
      </w:r>
    </w:p>
    <w:p>
      <w:r>
        <w:t>- RechtsanwÃ¤ltin Nirmala Maya Dias</w:t>
      </w:r>
    </w:p>
    <w:p>
      <w:r>
        <w:t>- Stadt Y.___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