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ZL.2010.00008 vom 22. November 2011</w:t>
      </w:r>
    </w:p>
    <w:p>
      <w:r>
        <w:t>ZH Sozialversicherungsgericht, 2011-11-22, DE</w:t>
      </w:r>
    </w:p>
    <w:p>
      <w:r>
        <w:rPr>
          <w:b/>
        </w:rPr>
        <w:t xml:space="preserve">Quelle: </w:t>
      </w:r>
      <w:r>
        <w:t>https://mcp.opencaselaw.ch/entscheid/zh_sozialversicherungsgericht_ZL.2010.00008</w:t>
      </w:r>
    </w:p>
    <w:p>
      <w:r>
        <w:t>FR: ZH_SOZIALVERSICHERUNGSGERICHT ZL.2010.00008 du 22 novembre 2011</w:t>
      </w:r>
    </w:p>
    <w:p>
      <w:r>
        <w:t>IT: ZH_SOZIALVERSICHERUNGSGERICHT ZL.2010.00008 del 22 novembre 2011</w:t>
      </w:r>
    </w:p>
    <w:p>
      <w:pPr>
        <w:pStyle w:val="Heading2"/>
      </w:pPr>
      <w:r>
        <w:t>Erwägungen</w:t>
      </w:r>
    </w:p>
    <w:p>
      <w:r>
        <w:rPr>
          <w:b/>
        </w:rPr>
        <w:t>E. 2</w:t>
      </w:r>
    </w:p>
    <w:p>
      <w:r>
        <w:t>2.1Â Â Â Â  Die Beschwerdegegnerin ging im angefochtenen Einspracheentscheid vom 29. Dezember 2009 davon aus, dass sich in den Jahren 2001 bis 2007 einerseits das VermÃ¶gen des BeschwerdefÃ¼hrers stark vermindert und dass sich andererseits das VermÃ¶gen seines Sohnes sowie dasjenige seiner Tochter in diesem Zeitraum stark vermehrt hÃ¤tten, weshalb von VermÃ¶gensverschiebungen im Sinne von ErbvorbezÃ¼gen beziehungsweise Schenkungen im Umfang von Fr. 483'000.-- auszugehen sei. Im Jahre 2009 sei dem BeschwerdefÃ¼hrer daher ein VerzichtsvermÃ¶gen von Fr. 413'000.-- anzurechnen (Urk. 2 S. 2).</w:t>
      </w:r>
    </w:p>
    <w:p>
      <w:r>
        <w:t>2.2Â Â Â Â  Der BeschwerdefÃ¼hrer bringt hiegegen vor, dass er und seine damalige Ehegattin im Rahmen einer Ehescheidungsvereinbarung am 17. Januar 2001 vereinbart hÃ¤tten, dass er die sich hÃ¤lftig in seinem Eigentum befindliche Liegenschaft an der Z.___ 109 in Y.___ an seine Tochter Ã¼bertragen werde (Urk. 1 S. 6 f.), dass seine geschiedene Ehegattin die sich in deren Eigentum befindende Liegenschaft an der Z.___ 111 in Y.___ mit einer Hypothek im Umfang von Fr. 320'000.-- an ihn Ã¼bertragen werde, und dass er und sein Sohn eine Aktiengesellschaft grÃ¼nden, an welche der BeschwerdefÃ¼hrer sÃ¤mtliche Aktiven und Passiven seiner Einzelunternehmung als Sacheinlage Ã¼bertragen werde. Aus steuerlichen GrÃ¼nden habe er im Jahre 2001 erst einen kleinen Teil der Aktien an seinen Sohn Ã¼bertragen. Die restlichen Aktien der Gesellschaft habe er nach Ablauf einer Frist von fÃ¼nf Jahren nach GrÃ¼ndung der Gesellschaft an seinen Sohn Ã¼bertragen (Urk. 1 S. 6). Die fraglichen Liegenschaften beziehungsweise die Einzelunternehmung seien zum Liquidationswert zu bewerten, wobei in Bezug auf die Liegenschaften auf diesbezÃ¼gliche Gutachten aus dem Jahre 1993 abgestellt werden kÃ¶nne (Urk. 1 S. 12). Sei fÃ¼r die Bewertung der Einzelunternehmung beziehungsweise der Aktiengesellschaft wider Erwarten auf die Werte in den Jahren 2001 und 2006 abzustellen, sei ein Liquidationswert von hÃ¶chstens Fr. 165'000.-- zu berÃ¼cksichtigen. Ein FortfÃ¼hrungswert kÃ¶nne auf Grund verschiedener Unsicherheiten und betrieblicher Schwierigkeiten nicht ermittelt werden (Urk. 1 S. 14 f.).</w:t>
      </w:r>
    </w:p>
    <w:p>
      <w:r>
        <w:rPr>
          <w:b/>
        </w:rPr>
        <w:t>E. 3.1</w:t>
      </w:r>
    </w:p>
    <w:p>
      <w:r>
        <w:t>Â Â Â  In den Akten befindet sich eine zwischen dem BeschwerdefÃ¼hrer seiner Ehegattin, seinem Sohn und seiner Tochter geschlossene Vereinbarung betreffend die gÃ¼ter- und scheidungsrechtlichen Nebenfolgen der Scheidung der Ehe des BeschwerdefÃ¼hrers und seiner Ehegattin sowie betreffend Erbvorbezug des Sohnes und der Tochter des BeschwerdefÃ¼hrers vom 17. Januar 2001 (Urk. 3/4) sowie ein Urteil des Bezirksgerichts W.___ vom 21. Februar 2001 betreffend Ehescheidung und gÃ¼terrechtliche Auseinandersetzung (Urk 3/5), worin die Vereinbarung vom 17. Januar 2001 genehmigt wurde (Urk. 3/5 S. 2). Darin wurde unter anderem vereinbart, dass die Ehegattin des BeschwerdefÃ¼hrers ihr Eigentum an der an der Z.___ 111 in Y.___ gelegenen Liegenschaft an den BeschwerdefÃ¼hrer Ã¼bertrage, und dass der BeschwerdefÃ¼hrer die darauf lastende Grundpfandschuld von Fr. 320'000.-- zur alleinigen Verzinsung und Bezahlung Ã¼bernehme (Urk. 3/5 S. 5). Sodann wurde vereinbart, dass zur Sicherung der vom BeschwerdefÃ¼hrer seiner geschiedenen Ehegattin geschuldeten UnterhaltsbeitrÃ¤ge eine auf der an der Z.___ 111 in Y.___ gelegenen Liegenschaft lastende Grundpfandverschreibung im Maximalbetrag von Fr. 300'000.-- zu errichten sei (Urk. 3/5 S. 7).</w:t>
      </w:r>
    </w:p>
    <w:p>
      <w:r>
        <w:t>Â Â Â Â Â Â Â Â  Sodann wurde mit dem Sohn des BeschwerdefÃ¼hrers vereinbart, dass dieser seine Stammeinlage in der zu grÃ¼ndenden Kapitalgesellschaft unentgeltlich zeichne und den entsprechenden Wert von seinem Vater als Erbvorbezug erhalte, und dass der BeschwerdefÃ¼hrer seine Stammeinlage von 19/20 des Stammkapitals frÃ¼hestens fÃ¼nf Jahre nach der Umwandlung seiner Einzelfirma in eine Gesellschaft mit beschrÃ¤nkter Haftung im Rahmen eines Erbvorbezugs unentgeltlich an seinen Sohn Ã¼bertragen werde (Urk. 3/5 S. 8 f.).</w:t>
      </w:r>
    </w:p>
    <w:p>
      <w:r>
        <w:t>Â Â Â Â Â Â Â Â  Des Weiteren wurde vereinbart, dass der BeschwerdefÃ¼hrer und seine geschiedene Ehegattin im Rahmen eines Erbvorbezugs je ihre hÃ¤lftige MiteigentumshÃ¤lfte an der an der Z.___ 109 gelegenen Liegenschaft an ihre gemeinsame Tochter Ã¼bertragen. Es wurde sodann vereinbart, dass die Tochter des BeschwerdefÃ¼hres als teilweise Gegenleistung fÃ¼r die Ãbertragung der Liegenschaft Z.___ 109 dem BeschwerdefÃ¼hrer ein ausschliessliches, lebenslÃ¤ngliches und unentgeltliches Wohnrecht an dieser Liegenschaft einrÃ¤ume (Urk. 3/5 S. 9 f.).</w:t>
      </w:r>
    </w:p>
    <w:p>
      <w:r>
        <w:t>3.2Â Â Â Â  In den Akten befindet sich sodann die Urkunde betreffend die GrÃ¼ndung der A.___ AG, Y.___ (Urk. 3/22/1), ein Ã¶ffentlich beurkundeter Sachleinlagevertrag zwischen dem BeschwerdefÃ¼hrer und der A.___ AG vom 6. September 2001 (Urk. 3/23), die Statuten der A.___ AG (Urk. 3/22/2), der Sacheinlage- und SachÃ¼bernahmevertrag zwischen dem BeschwerdefÃ¼hrer und der A.___ AG vom 24. August 2001 (Urk. 3/22/3) und einen GrÃ¼ndungsbericht der A.___ AG betreffend Sacheinlage vom 24. August 2001 (Urk. 3/22/4).</w:t>
      </w:r>
    </w:p>
    <w:p>
      <w:r>
        <w:t>3.3Â Â Â Â  GemÃ¤ss dem Sacheinlage- und SachÃ¼bernahmevertrag vom 24. August 2001 (Urk. 3/22/3) Ã¼bernahm die A.___ AG per 1. Juli 2001 vom BeschwerdefÃ¼hrer die Aktiven und Passiven seiner Einzelfirma, wobei die zum Betrieb des einzubringenden GeschÃ¤ftes gehÃ¶renden Aktiven gemÃ¤ss der Ãbernahmebilanz per 1. Juli 2001 mit Fr. 2'739'990.60 und die Passiven mit Fr. 2'506'587.05 bewertet wurden. Als Ãbernahmepreis wurde Fr. 233'403.55 vereinbart, wobei der BeschwerdefÃ¼hrer als Gegenleistung fÃ¼r seine Sacheinlage 218 als voll liberiert geltende Aktien zu einem Nennwert von je Fr. 1'000.-- und der Sohn des BeschwerdefÃ¼hrers 1'199 sowie seine Ehefrau eine als voll liberiert geltende Stimmrechtsaktien zu einem Nennwert von je Fr. 10.-- erhielten (Urk. 3/22/3 S. 1). Die verbleibende Differenz von Fr. 3'403.55 wurde dem BeschwerdefÃ¼hrer in den BÃ¼chern der Gesellschaft gutgeschrieben.</w:t>
      </w:r>
    </w:p>
    <w:p>
      <w:r>
        <w:t>Â Â Â Â Â Â Â Â  Dem Sachleinlagevertrag vom 6. September 2001 (Urk. 3/23) ist sodann zu entnehmen, dass die Sacheinlage des BeschwerdefÃ¼hrers ein an der Z.___ 111 in Y.___ gelegenes GrundstÃ¼ck mit Wohnhaus und Schopf sowie ein an der Z.___ 117 gelegenes GrundstÃ¼ck mit Wohnhaus, Werkstatt, Schopf und LagergebÃ¤ude umfasste. Es wurde sodann vereinbart, dass die Schuld aufgrund der auf dem GrundstÃ¼ck Z.___ 111 lastenden Grundpfandverschreibung fÃ¼r Fr. 300'000.-- nicht von der A.___ AG Ã¼bernommen werde, und dass vielmehr der BeschwerdefÃ¼hrer Schuldner dieser Grundpfandverschreibung bleibe (Urk. 3/23 S. 7).Â</w:t>
      </w:r>
    </w:p>
    <w:p>
      <w:r>
        <w:t>3.4Â Â Â Â  In den Akten befindet sich sodann die SteuerklÃ¤rung 2007 des BeschwerdefÃ¼hrers (Urk. 23/16), welcher zu entnehmen ist, dass der BeschwerdefÃ¼hrer am 31. Dezember 2007 einerseits Ã¼ber keine Aktien der A.___ AG und Ã¼ber keine Liegenschaften mehr verfÃ¼gte, und dass er andererseits die auf dem an der Z.___ 111 in Y.___ gelegenen GrundstÃ¼ck lastende Grundpfandschuld von Fr. 300'000.-- nicht mehr schuldete.</w:t>
      </w:r>
    </w:p>
    <w:p>
      <w:r>
        <w:rPr>
          <w:b/>
        </w:rPr>
        <w:t>E. 4</w:t>
      </w:r>
    </w:p>
    <w:p>
      <w:r>
        <w:t>4.1Â Â Â Â  Nach Gesagtem steht daher fest, dass der BeschwerdefÃ¼hrer im Jahre 2001 im Rahmen eines Erbvorbezugs die sich in seinem Eigentum befindliche hÃ¤lftige MiteigentumshÃ¤lfte an der an der Z.___ 109 in Y.___ gelegenen Liegenschaft und privatem Wiesland an seine Tochter Ã¼bertrug, und dass die Tochter des BeschwerdefÃ¼hrers dem BeschwerdefÃ¼hrer ein ausschliessliches, lebenslÃ¤ngliches und unentgeltliches Wohnrecht an dieser Liegenschaft einrÃ¤umte (Urk. 3/5 S. 9 f.).</w:t>
      </w:r>
    </w:p>
    <w:p>
      <w:r>
        <w:t>Â Â Â Â Â Â Â Â  Andererseits ist davon auszugehen, dass der BeschwerdefÃ¼hrer im Jahre 2001Â  die sich in seinem alleinigen Eigentum befindenden Liegenschaften an der Z.___ 111 und an der Z.___ 117 in Y.___ gelegenen Liegenschaften mit, abgesehen von Grundpfandverschreibung fÃ¼r Fr. 300'000.--, den darauf lastenden Schulden an die neu gegrÃ¼ndete A.___ AG Ã¼bertrug (Urk. 3/23 S. 7), an welcher Gesellschaft er selbst wiederum mit 218 Aktien zu Fr. 1'000.-- Nennwert und sein Sohn samt Ehefrau mit 1'200 Stimmrechtsaktien zum Nennwert von Fr. 10.-- beteiligt waren (Urk. 3/22/3 S. 1). Sodann ist davon auszugehen, dass der BeschwerdefÃ¼hrer in der Zeit zwischen 2001 und 2006 seine Aktien der A.___ AG an seinen Sohn Ã¼bertrug.</w:t>
      </w:r>
    </w:p>
    <w:p>
      <w:r>
        <w:t>4.2Â Â Â Â  Zu prÃ¼fen bleibt im Folgenden einerseits die Bewertung der hÃ¤lftigen MiteigentumshÃ¤lfte an der an der Z.___ 109 in Y.___ gelegenen Liegenschaft, welche der BeschwerdefÃ¼hrer im Jahre 2001 an seine Tochter Ã¼bertrug und die Bewertung der im Jahre 2001 im Rahmen einer Sacheinlage an die A.___ AG Ã¼bertragenen Liegenschaften an der Z.___ 111 und an der Z.___ 117 in Y.___, an welcher Gesellschaft der BeschwerdefÃ¼hrer mit 218 und der Sohn samt Ehefrau mit 1'200 Aktien beteiligt waren. Andererseits gilt es die Aktien der A.___ AG zu bewerten, welche der BeschwerdefÃ¼hrer in der Zeit zwischen 2001 und 2006 an seinen Sohn Ã¼bertrug.</w:t>
      </w:r>
    </w:p>
    <w:p>
      <w:r>
        <w:t>4.3Â Â Â Â</w:t>
      </w:r>
    </w:p>
    <w:p>
      <w:r>
        <w:t>4.3.1Â Â  GemÃ¤ss Art. 11 Abs. 1 lit. c ELG ist eine selbstbewohnte Liegenschaft bis zu einem Grenzwert von Fr. 112'500.-- bei der Bemessung des VermÃ¶gens nicht zu berÃ¼cksichtigen. Dienen GrundstÃ¼cke dem BezÃ¼ger oder einer Person, die in der EL-Berechnung eingeschlossen ist, nicht zu eigenen Wohnzwecken, so sind sie laut Art. 17 Abs. 4 ELV zum Verkehrswert einzusetzen. In Art. 17 Abs. 5 ELV werden fÃ¼r die Ermittlung des Verkehrswertes einer Liegenschaft keine eigentlichen Bewertungsregeln aufgestellt. Unter dem Verkehrswert wird der Verkaufswert (Marktpreis) verstanden, den eine LiegenschaftÂ  im normalen GeschÃ¤ftsverkehr besitzt (BGE 120 V 12 E. 1; AHI 1998 S. 273 f.). Massgebend ist der Verkehrswert der Liegenschaft zum VerÃ¤usserungszeitpunkt (BGE 113 V 195 E. 5c).</w:t>
      </w:r>
    </w:p>
    <w:p>
      <w:r>
        <w:t>4.3.2Â Â  Weil der so ermittelte Verkehrswert eine konkrete und aktuelle LiegenschaftsschÃ¤tzung voraussetzt, ist diese Bewertungsmethode fÃ¼r die Ermittlung des EL-Anspruchs grundsÃ¤tzlich nicht praktikabel. Der EL-rechtliche Verkehrswert hat sich daher soweit mÃ¶glich und sinnvoll auf geeignete anderweitige SchÃ¤tzungswerte zu stÃ¼tzen (Urteil des damaligen EidgenÃ¶ssischen Versicherungsgerichts, EVG, P 49/05 vom 9. Juni 2006 E. 2.1; SVR 1998 EL Nr. 5 S. 9 E. 6a).</w:t>
      </w:r>
    </w:p>
    <w:p>
      <w:r>
        <w:t>4.3.3Â Â  Von der Rechtsprechung sind unterschiedliche kantonale LÃ¶sungen geschÃ¼tzt worden. Nach der Rechtsprechung ist grundsÃ¤tzlich auf einen amtlichen oder allgemein anerkannten SchÃ¤tzungswert abzustellen (Urteile des EVG P 48/04 vom 22. Februar 2005 E. 2 und P 9/04 vom 7. April 2004 E. 4.3). In einem den Kanton GraubÃ¼nden betreffenden Entscheid stellte das EVG auf die VerkehrswertschÃ¤tzung durch die kantonale SchÃ¤tzungskommission ab (Urteil des EVG P 48/04 vom 22. Februar 2005 E. 2.1).</w:t>
      </w:r>
    </w:p>
    <w:p>
      <w:r>
        <w:t>Â Â Â Â Â Â Â Â  In verschiedenen den Kanton Thurgau betreffenden Entscheiden hat das EVG die kantonale Berechnungsweise, wonach bei der Ermittlung des Verkehrswerts auf das Mittel zwischen dem Steuerwert und dem GebÃ¤udeversicherungswert der Liegenschaft abgestellt wird, als sachgerecht bezeichnet mit der Feststellung, dass sie im Hinblick darauf, dass der Verkehrswert meist deutlich Ã¼ber dem Steuerwert liegt und der Versicherungswert den Verkehrswert hÃ¤ufig Ã¼bersteigt, in der Regel zu angemessenen Ergebnissen fÃ¼hrt. Vorbehalten sind indes FÃ¤lle, wo diese Methode zu offensichtlich unrichtigen Ergebnissen fÃ¼hrt (Urteile des EVG P 49/05 vom 9. Juni 2006 E. 2.1, P 50/00 vom 8. Februar 2001 und P 1/02 vom 9. September 2002).</w:t>
      </w:r>
    </w:p>
    <w:p>
      <w:r>
        <w:t>Â Â Â Â Â Â Â Â  In einem den Kanton St. Gallen betreffenden Entscheid vom 21. August 2001 (P 56/99) stellte das EVG auf eine VerkehrswertschÃ¤tzung durch eine Bank ab. Diese SchÃ¤tzung entsprach genau dem auf diesen Betrag festgelegten Verkaufspreis durch eine Immobiliengesellschaft (E. 3b).</w:t>
      </w:r>
    </w:p>
    <w:p>
      <w:r>
        <w:rPr>
          <w:b/>
        </w:rPr>
        <w:t>E. 4.4</w:t>
      </w:r>
    </w:p>
    <w:p>
      <w:r>
        <w:t>4.4.1Â Â  Bei der Bewertung von Anteilsrechten einer Gesellschaft gilt es das VermÃ¶gen der Gesellschaft, die Verteilung der Stimmrechte sowie alle anderen relevanten UmstÃ¤nde zu berÃ¼cksichtigen (Urteil des Bundesgerichts 4A_96/2011 vom 20. September 2011 E. 5.4). Ein GeschÃ¤ftsbetrieb oder ein kaufmÃ¤nnisches Gewerbe ist nach anerkannten GrundsÃ¤tzen der Betriebswirtschaftslehre zu bewerten. Ausgangspunkt ist die Frage, ob das Unternehmen weitergefÃ¼hrt wird oder nicht. Je nach Antwort ist der FortfÃ¼hrungswert oder der Liquidationswert zu ermitteln. Letzternfalls ist der Jahresabschluss, der normalerweise auf FortfÃ¼hrungswerten und damit Preisen des Beschaffungsmarktes (abzÃ¼glich notwendige Abschreibungen) beruht, auf Liquidationswerte, das heisst auf Preise des VerÃ¤usserungsmarktes, umzustellen (BGE 136 III 209 E. 6.2.2).</w:t>
      </w:r>
    </w:p>
    <w:p>
      <w:r>
        <w:t>4.4.2Â Â  Der FortfÃ¼hrungswert wird in der Regel aufgrund einer zukunftsbezogenen Ertragsbewertung, verbunden mit einer aktuellen Substanzbewertung, bestimmt (BGE 136 III 209 E. 6.2.2), wobei verschiedene Methoden angewendet werden kÃ¶nnen. Im EhegÃ¼terrecht hat die Rechtsprechung nicht ausgeschlossen, dass der FortfÃ¼hrungswert eines Unternehmens anhand der zukÃ¼nftig zu erwartenden Gewinne bestimmt wird und dass eine Ã¼berwiegende oder gÃ¤nzliche Bewertung zum Ertragswert sinnvoll sein kann, wenn der aus gÃ¼ter- oder erbrechtlicher Auseinandersetzung hervorgehende EigentÃ¼mer voraussichtlich Ã¼ber lÃ¤ngere Zeit das Gut nicht verÃ¤ussern wird. Mit RÃ¼cksicht auf sÃ¤mtliche UmstÃ¤nde des konkreten Einzelfalls kann der Verkehrswert auch dem Ertragswert entsprechen. Des Gleichen ist im Gesellschaftsrecht der FortfÃ¼hrungswert in der Regel ebenfalls unter Einschluss von Ertrags- und Substanzwert zu bestimmen, wobei die Gewichtung von den konkreten Gegebenheiten abhÃ¤ngt. Namentlich bei kleinen und mittleren Unternehmen kann davon jedoch abgewichen und allein auf den Ertragswert abgestellt werden, wenn der Ertragswert und der Substanzwert so stark auseinanderfallen, dass das Unternehmen offensichtlich ausserstande ist, aus den im AnlagevermÃ¶gen gebundenen Aktiven einen angemessenen Ertrag zu erwirtschaften, die FortfÃ¼hrung des Unternehmens aber gleichwohl ausser Frage steht. Daraus wird ein Trend zum Vorrang des Ertragswertes abgeleitet (BGE 136 III 209 E. 6.2.3 mit Hinweisen).</w:t>
      </w:r>
    </w:p>
    <w:p>
      <w:r>
        <w:rPr>
          <w:b/>
        </w:rPr>
        <w:t>E. 5</w:t>
      </w:r>
    </w:p>
    <w:p>
      <w:r>
        <w:t>5.1Â Â Â Â  Der Beschwerdegegnerin ist nicht zu folgen, wenn sie alleine aus der gegenlÃ¤ufigen Entwicklung der steuerbaren VermÃ¶gen des BeschwerdefÃ¼hrers und der VermÃ¶gen seines Sohnes und seiner Tochter auf VermÃ¶gensverschiebungen schliessen und auf diese Art und Weise das VerzichtsvermÃ¶gen bemessen will (Urk. 2 S. 2). Vorliegend gilt es vielmehr die vom BeschwerdefÃ¼hrer im Jahre 2001 an seine Tochter und in den Jahren 2001 und im Zeitraum von 2001 bis 2006 an seinen Sohn im Rahmen von ErbvorbezÃ¼gen Ã¼bertragenen VermÃ¶genswerte zum Verkehrswert zu bewerten.</w:t>
      </w:r>
    </w:p>
    <w:p>
      <w:r>
        <w:t>5.2Â Â Â Â  Auf die sich bei den Akten befindenden SchÃ¤tzungen der Landparzelle (Urk. 3/21) und der an der Z.___ 109 in Y.___ gelegenen Liegenschaft (Urk. 3/19) sowie der Landparzelle (Urk. 3/20) und der an der Z.___ 111 gelegenen Liegenschaft (Urk. 3/18) durch B.___, W.___, kannÂ  vorliegend nicht abgestellt werden. Denn einerseits handelt es sich dabei nicht um Bewertungen, welche zum VerÃ¤usserungszeitpunkt der Liegenschaften im Jahre 2001 vorgenommen wurden, sondern um solche per 31. Dezember 1993. Des Weiteren handelt es sich bei den LiegenschaftenschÃ¤tzungen durch B.___ nicht um eine amtliche oder allgemein anerkannte SchÃ¤tzung im Sinne der Rechtsprechung (vgl. Urteile des EVG P 48/04 vom 22. Februar 2005 E. 2 und P 9/04 vom 7. April 2004 E. 4.3).</w:t>
      </w:r>
    </w:p>
    <w:p>
      <w:r>
        <w:t>5.3Â Â Â Â  Des Gleichen kann nicht auf die per 31. Dezember 1993 durch C.___, W.___, vorgenommene Bewertung der Einzelunternehmung des BeschwerdefÃ¼hrers (Urk. 3/17) abgestellt werden. Denn obwohl diese SchÃ¤tzung sowohl eine Bewertung der Aktiven des Einzelunternehmens des BeschwerdefÃ¼hrers zum FortfÃ¼hrungs- als auch zum Liquidationswert enthÃ¤lt (Urk. 3/17 S. 5 f.), handelt es sich dabei um eine Bewertung per 31. Dezember 1993 und nicht um eine solche zum VerÃ¤usserungszeitpunkt im Jahre 2001. In Bezug auf die darin enthaltene SchÃ¤tzung der an der Z.___ 117 gelegenen Liegenschaft handelt es sich bei der SchÃ¤tzung durch C.___ sodann nicht um eine amtliche oder allgemein anerkannte SchÃ¤tzung im Sinne der Rechtsprechung (vgl. E. 4.3).</w:t>
      </w:r>
    </w:p>
    <w:p>
      <w:r>
        <w:t>5.4Â Â Â Â  Nach Gesagtem steht fest, dass das dem BeschwerdefÃ¼hrer anzurechnende VerzichtsvermÃ¶gen auf Grund der Akten nicht zuverlÃ¤ssig ermittelt werden kann. Der Sachverhalt erscheint diesbezÃ¼glich nicht als rechtsgenÃ¼gend abgeklÃ¤rt. Die Beschwerdegegnerin, an welche die Sache zu ergÃ¤nzender SachverhaltsabklÃ¤rung zurÃ¼ckzuweisen ist, wird den Verkehrswert der Liegenschaften an der Z.___ 109, 111 und 117 in Y.___ zum Zeitpunkt ihrer VerÃ¤usserung im Jahre 2001 mittels geeigneter Methoden ergÃ¤nzend abklÃ¤ren. Des Weitern wird die Beschwerdegegnerin die weiteren Aktiven, welche der BeschwerdefÃ¼hrer im Jahre 2001 als Sacheinlagen an die A.___ AG Ã¼bertrug, bewerten und im Umfang der von seinem Sohn gehaltenen Aktien der Gesellschaft als VermÃ¶gensverzicht berÃ¼cksichtigen. Schliesslich wird die Beschwerdegegnerin mittels geeigneter Methoden die vom BeschwerdefÃ¼hrer in der Zeit von 2001 bis 2006 an seinen Sohn Ã¼bertragenen Aktien der A.___ AG bewerten und als VermÃ¶gensverzicht berÃ¼cksichtigen.</w:t>
      </w:r>
    </w:p>
    <w:p>
      <w:r>
        <w:t>5.5Â Â Â Â  Im Ãbrigen ist nicht zu beanstanden, dass die Beschwerdegegnerin in der VerfÃ¼gung vom 21. Juli 2009 (Urk. 23/54) das in der Vereinbarung betreffend die Nebenfolgen der Scheidung vom 17. Januar 2001 (Urk. 3/4) vereinbarte lebenslÃ¤ngliche und unentgeltliche Wohnrecht des BeschwerdefÃ¼hrers an der an der Z.___ 109 in Y.___ gelegenen Liegenschaft bei der Bemessung des VerzichtsvermÃ¶gens nicht berÃ¼cksichtigte. Denn einerseits ist es nicht zulÃ¤ssig, den kapitalisierten Wert des Wohnrechts dem Berechtigten als VermÃ¶gen anzurechnen. Denn der Berechtige kann die mit dem Wohnrecht belastete Liegenschaft zwar bewohnen, kann aber weder rechtlich noch tatsÃ¤chlich Ã¼ber sie verfÃ¼gen (vgl. Urs MÃ¼ller, ELG, 2. Auflage, ZÃ¼rich 2006, Art. 3c ELG N 335). Sodann gilt es zu beachten dass das Wohnrecht gemÃ¤ss Art. 776 Abs. 2 ZGB unÃ¼bertragbar und unvererblich ist. Aus diesem Grunde darf der Gegenwert des Wohnrechts dem BeschwerdefÃ¼hrer, welcher das Wohnrecht aus gesundheitlichen GrÃ¼nden nicht mehr ausÃ¼ben kann, bei der Bemessung der ErgÃ¤nzungsleistung nicht als Einkommen angerechnet werden (Urs MÃ¼ller, a.a.O., Art. 3c ELG N 340; BGE 99 V 110).</w:t>
      </w:r>
    </w:p>
    <w:p>
      <w:r>
        <w:t>Â Â Â Â Â Â Â Â  Andererseits wird die Beschwerdegegnerin das lebenslÃ¤ngliche Wohnrecht des BeschwerdefÃ¼hrers in der Liegenschaft Z.___ 109 zu kapitalisieren und in Abzug zu bringen haben (Urteil des EVG P 49/05 vom 9. Juni 2006 E. 4.2).</w:t>
      </w:r>
    </w:p>
    <w:p>
      <w:r>
        <w:t>5.6Â Â Â Â  Sodann besteht auch durchaus Raum fÃ¼r den Abzug der kapitalisierten Unterhaltszahlungen des BeschwerdefÃ¼hrers an seine geschiedene Ehefrau, welche der Sohn Ã¼bernahm. Schliesslich steht es der Beschwerdegegnerin frei, Nachweise fÃ¼r allenfalls Ã¼bersteigenden VermÃ¶genverzehr, namentlich in den Jahren 2002 und 2006 zu verlangen.</w:t>
      </w:r>
    </w:p>
    <w:p>
      <w:r>
        <w:rPr>
          <w:b/>
        </w:rPr>
        <w:t>E. 6</w:t>
      </w:r>
    </w:p>
    <w:p>
      <w:r>
        <w:t>6.1Â Â Â Â  Bei diesem Ausgang des Verfahrens hat der unentgeltliche Rechtsvertreter des BeschwerdefÃ¼hrers Anrecht auf eine EntschÃ¤digung zu Lasten der Beschwerdegegnerin (Â§ 34 des Gesetzes Ã¼ber das Sozialversicherungsgericht, GSVGer).</w:t>
      </w:r>
    </w:p>
    <w:p>
      <w:r>
        <w:t>6.2Â Â Â Â  Nach Â§ 34 Abs. 3 des Gesetzes Ã¼ber das Sozialversicherungsgericht (GSVGer) bemisst sich die HÃ¶he der gerichtlich festzusetzenden EntschÃ¤digung nach der Bedeutung der Streitsache, der Schwierigkeit des Prozesses und dem Mass des Obsiegens, jedoch ohne RÃ¼cksicht auf den Streitwert. GemÃ¤ss Â§ 9 in Verbindung mit Â§ 8 Abs. 1 der Verordnung Ã¼ber die GebÃ¼hren, Kosten und EntschÃ¤digungen vor dem Sozialversicherungsgericht (GebV SVGer) wird - auch im Rahmen der unentgeltlichen Rechtsvertretung - namentlich fÃ¼r unnÃ¶tigen Aufwand kein Ersatz gewÃ¤hrt.</w:t>
      </w:r>
    </w:p>
    <w:p>
      <w:r>
        <w:t>6.3Â Â Â Â  Der von Rechtsanwalt JÃ¼rg BÃ¼gler mit Eingabe vom 15. November 2011 geltend gemachte Aufwand von 20 Stunden und Fr. 219.50 Barauslagen (Urk. 41) ist der Bedeutung der Streitsache und der Schwierigkeit des Prozesses nicht angemessen, insbesondere aufgrund der Tatsache, dass er den BeschwerdefÃ¼hrer schon im Vorverfahren vertrat und die Akten sowie die ZusammenhÃ¤nge somit bekannt waren. Namentlich erscheint ein Aufwand von 13 Stunden fÃ¼r Aktenstudium und die Ausarbeitung der Beschwerdeschrift sowie vier Stunden fÃ¼r erneutes Aktenstudium und die Anfertigung der Replik als Ã¼berhÃ¶ht.</w:t>
      </w:r>
    </w:p>
    <w:p>
      <w:r>
        <w:t>Â Â Â Â Â Â Â Â  Angesichts der zu studierenden gut 85 AktenstÃ¼cke der Beschwerdegegnerin, der 16-, vier- und dreiseitigen Rechtsschriften, den Aufwendungen im Zusammenhang mit dem Gesuch um unentgeltliche RechtsverbeistÃ¤ndung sowie der in Ã¤hnlichen FÃ¤llen zugesprochenen BetrÃ¤gen ist die EntschÃ¤digung von Rechtsanwalt JÃ¼rg BÃ¼gler bei Anwendung des gerichtsÃ¼blichen Stundenansatzes von Fr. 200.-- (zuzÃ¼glich Mehrwertsteuer) auf Fr. 3'500.-- (inklusive Barauslagen und Mehrwertsteuer) festzusetzen. Die Beschwerdegegnerin ist zu verpflichten, den unentgeltlichen Rechtsvertreter des BeschwerdefÃ¼hrers in diesem Umfang zu entschÃ¤digen.</w:t>
      </w:r>
    </w:p>
    <w:p>
      <w:r>
        <w:t>Das Gericht erkennt:</w:t>
      </w:r>
    </w:p>
    <w:p>
      <w:r>
        <w:t>1.Â Â Â Â Â Â Â Â  Die Beschwerde wird in dem Sinne gutgeheissen, dass der angefochtene Einspracheentscheid vom 29. Dezember 2009 aufgehoben und die Sache an die Y.___,Â  zurÃ¼ckgewiesen wird, damit diese, nach erfolgter AbklÃ¤rung im Sinne der ErwÃ¤gungen, Ã¼ber den Anspruch des BeschwerdefÃ¼hrers auf ErgÃ¤nzungs- und Zusatzleistungen fÃ¼r das Jahr 2009 neu verfÃ¼ge.</w:t>
      </w:r>
    </w:p>
    <w:p>
      <w:r>
        <w:t>2.Â Â Â Â Â Â Â Â  Das Verfahren ist kostenlos.</w:t>
      </w:r>
    </w:p>
    <w:p>
      <w:r>
        <w:t>3.Â Â Â Â Â Â Â Â  Die Beschwerdegegnerin wird verpflichtet, dem unentgeltlichen Rechtsvertreter des BeschwerdefÃ¼hrers, Rechtsanwalt JÃ¼rg BÃ¼gler, Winterthur, eine ProzessentschÃ¤digung von Fr. 3Â500.-- (inklusive Barauslagen und Mehrwertsteuer) zu bezahlen.</w:t>
      </w:r>
    </w:p>
    <w:p>
      <w:r>
        <w:t>4.Â Â Â Â Â Â Â Â  Zustellung gegen Empfangsschein an:</w:t>
      </w:r>
    </w:p>
    <w:p>
      <w:r>
        <w:t>- Rechtsanwalt JÃ¼rg BÃ¼gler</w:t>
      </w:r>
    </w:p>
    <w:p>
      <w:r>
        <w:t>- Rechtsanwalt Daniel MÃ¤gerle</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