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ZL.2009.00096 vom 12. August 2010</w:t>
      </w:r>
    </w:p>
    <w:p>
      <w:r>
        <w:t>ZH Sozialversicherungsgericht, 2010-08-12, DE</w:t>
      </w:r>
    </w:p>
    <w:p>
      <w:r>
        <w:rPr>
          <w:b/>
        </w:rPr>
        <w:t xml:space="preserve">Quelle: </w:t>
      </w:r>
      <w:r>
        <w:t>https://mcp.opencaselaw.ch/entscheid/zh_sozialversicherungsgericht_ZL.2009.00096</w:t>
      </w:r>
    </w:p>
    <w:p>
      <w:r>
        <w:t>FR: ZH_SOZIALVERSICHERUNGSGERICHT ZL.2009.00096 du 12 août 2010</w:t>
      </w:r>
    </w:p>
    <w:p>
      <w:r>
        <w:t>IT: ZH_SOZIALVERSICHERUNGSGERICHT ZL.2009.00096 del 12 agosto 2010</w:t>
      </w:r>
    </w:p>
    <w:p>
      <w:pPr>
        <w:pStyle w:val="Heading2"/>
      </w:pPr>
      <w:r>
        <w:t>Erwägungen</w:t>
      </w:r>
    </w:p>
    <w:p>
      <w:r>
        <w:rPr>
          <w:b/>
        </w:rPr>
        <w:t>E. 2</w:t>
      </w:r>
    </w:p>
    <w:p>
      <w:r>
        <w:t>2.1Â Â Â Â  GemÃ¤ss Art. 2 Abs. 1 ELG haben Personen Anspruch auf ErgÃ¤nzungsleistungen, wenn sie die Voraussetzungen nach den Art. 4-6 ELG erfÃ¼llen. Dabei entspricht die jÃ¤hrliche ErgÃ¤nzungsleistung dem Betrag, um den die anerkannten Ausgaben die anrechenbaren Einnahmen Ã¼bersteigen (Art. 9 Abs. 1 ELG). Die anrechenbaren Einnahmen werden nach Art. 11 ELG berechnet. Als Einkommen anzurechnen sind unter anderem EinkÃ¼nfte und VermÃ¶genswerte, auf die verzichtet worden ist (Art. 11 Abs. 1 lit. g ELG). Eine Verzichtshandlung liegt vor, wenn die versicherte Person ohne rechtliche Verpflichtung und ohne adÃ¤quate Gegenleistung auf VermÃ¶gen verzichtet hat, wenn sie einen Rechtsanspruch auf bestimmte EinkÃ¼nfte und VermÃ¶genswerte hat, davon aber faktisch nicht Gebrauch macht oder ihre Rechte nicht durchsetzt, oder wenn sie aus von ihr zu verantwortenden GrÃ¼nden von der AusÃ¼bung einer mÃ¶glichen oder zumutbaren ErwerbstÃ¤tigkeit absieht (BGE 121 V 205 Erw. 4a, 117 V 289 Erw. 2a; AHI 2003 S. 221 Erw. 1a, je mit Hinweisen).</w:t>
      </w:r>
    </w:p>
    <w:p>
      <w:r>
        <w:t>2.2Â Â Â Â Â Â Â Â  GestÃ¼tzt auf Art. 9 Abs. 5 lit. b ELG hat der Bundesrat in Art. 17 ELV nÃ¤here Bestimmungen zur VermÃ¶gensbewertung erlassen. Danach ist das anrechenbare VermÃ¶gen nach den GrundsÃ¤tzen der Gesetzgebung Ã¼ber die direkte kantonale Steuer fÃ¼r die Bewertung des VermÃ¶gens im Wohnsitzkanton zu bewerten (Abs. 1). Dienen GrundstÃ¼cke dem BezÃ¼ger oder einer Person, die in der EL-Berechnung eingeschlossen ist, nicht zu eigenen Wohnzwecken, so sind sie zum Verkehrswert einzusetzen (Abs. 4). Nach Abs. 5 dieser Bestimmung ist bei der entgeltlichen oder unentgeltlichen VerÃ¤usserung eines GrundstÃ¼cks fÃ¼r die PrÃ¼fung, ob ein VermÃ¶gensverzicht im Sinne von Art. 11 Abs. 1 lit. g ELG vorliegt, der Verkehrswert massgebend. Der Verkehrswert gelangt nicht zur Anwendung, wenn von Gesetzes wegen ein Rechtsanspruch auf den Erwerb zu einem tieferen Wert besteht. GemÃ¤ss Abs. 6 dieser Bestimmung kÃ¶nnen die Kantone anstelle des Verkehrswertes einheitlich den fÃ¼r die interkantonale Steuerausscheidung massgebenden Repartitionswert anwenden.</w:t>
      </w:r>
    </w:p>
    <w:p>
      <w:r>
        <w:t>2.3Â Â Â Â  Der Kanton ZÃ¼rich hat von der mit Art. 17 Abs. 6 ELV eingerÃ¤umten MÃ¶glichkeit, anstelle des Verkehrswertes einheitlich den Repartitionswert anzuwenden, keinen Gebrauch gemacht (Weisungen und Informationen betreffend Zusatzleistungen zur AHV/IV, Stand Dezember 2009, S. 17 f., www.sozialamt.zh.ch/internet/ds/sa/de/Zusatzleistu.html ; Aktennotiz vom 9. Juli 2010, Urk. 20), weshalb gemÃ¤ss Art. 17 Abs. 5 ELV vorzugehen und der Verkehrswert zu ermitteln ist.</w:t>
      </w:r>
    </w:p>
    <w:p>
      <w:r>
        <w:t>2.4Â Â Â Â  Der Beschwerdegegnerin ist daher nicht zu folgen, wenn sie in den VerfÃ¼gungen vom 15. Oktober 2009 (Urk. 7/43/1, Urk. 7/44/1) und im angefochtenen Einspracheentscheid (Urk. 2) bei der Bewertung der Liegenschaften in E.___ und G.___ auf die fÃ¼r die interkantonale Steuerausscheidung massgebenden Repartitionswerte abstellte (vgl. Urk. 7/18, Urk. 7/20). Massgebend ist vielmehr der Verkehrswert dieser Liegenschaften.</w:t>
      </w:r>
    </w:p>
    <w:p>
      <w:r>
        <w:rPr>
          <w:b/>
        </w:rPr>
        <w:t>E. 3</w:t>
      </w:r>
    </w:p>
    <w:p>
      <w:r>
        <w:t>3.1Â Â Â Â  In Art. 17 Abs. 5 ELV werden fÃ¼r die Ermittlung des Verkehrswertes einer Liegenschaft keine eigentlichen Bewertungsregeln aufgestellt. Unter dem Verkehrswert wird der Verkaufswert (Marktpreis) verstanden, den eine LiegenschaftÂ  im normalen GeschÃ¤ftsverkehr besitzt (BGE 120 V 12 Erw. 1; AHI 1998 S. 273 f.). Massgebend ist der Verkehrswert der Liegenschaft zum VerÃ¤usserungszeitpunkt (BGE 113 V 195 Erw. 5c).</w:t>
      </w:r>
    </w:p>
    <w:p>
      <w:r>
        <w:t>3.2Â Â Â Â  Weil der so ermittelte Verkehrswert eine konkrete und aktuelle LiegenschaftsschÃ¤tzung voraussetzt, ist diese Bewertungsmethode fÃ¼r die Ermittlung des EL-Anspruchs grundsÃ¤tzlich nicht praktikabel. Der EL-rechtliche Verkehrswert hat sich daher soweit mÃ¶glich und sinnvoll auf geeignete anderweitige SchÃ¤tzungswerte zu stÃ¼tzen (Urteil des damaligen EidgenÃ¶ssischen Versicherungsgerichts, EVG, in Sachen J. vom 9. Juni 2006, P 49/05, Erw. 2.1; SVR 1998 EL Nr. 5 S. 9 Erw. 6a).</w:t>
      </w:r>
    </w:p>
    <w:p>
      <w:r>
        <w:t>3.3Â Â Â Â  Von der Rechtsprechung sind unterschiedliche kantonale LÃ¶sungen geschÃ¼tzt worden. Nach der Rechtsprechung ist grundsÃ¤tzlich auf einen amtlichen oder allgemein anerkannten SchÃ¤tzungswert abzustellen (Urteile des EVG in Sachen O. vom 22. Februar 2005, P 48/04, Erw. 2 und in Sachen P. vom 7. April 2004, P 9/04, Erw. 4.3). In einem den Kanton GraubÃ¼nden betreffenden Entscheid stellte das EVG auf die VerkehrswertschÃ¤tzung durch die kantonale SchÃ¤tzungskommission ab (Urteil des EVG in Sachen O. vom 22. Februar 2005, P 48/04, Erw. 2.1).</w:t>
      </w:r>
    </w:p>
    <w:p>
      <w:r>
        <w:t>Â Â Â Â Â Â Â Â  In verschiedenen den Kanton Thurgau betreffenden Entscheiden hat das EVG die kantonale Berechnungsweise, wonach bei der Ermittlung des Verkehrswerts auf das Mittel zwischen dem Steuerwert und dem GebÃ¤udeversicherungswert der Liegenschaft abgestellt wird, als sachgerecht bezeichnet mit der Feststellung, dass sie im Hinblick darauf, dass der Verkehrswert meist deutlich Ã¼ber dem Steuerwert liegt und der Versicherungswert den Verkehrswert hÃ¤ufig Ã¼bersteigt, in der Regel zu angemessenen Ergebnissen fÃ¼hrt. Vorbehalten sind indes FÃ¤lle, wo diese Methode zu offensichtlich unrichtigen Ergebnissen fÃ¼hrt (Urteile des EVG in Sachen J. vom 9. Juni 2006, P 49/05, Erw. 2.1, in Sachen Sch. vom 8. Februar 2001, P 50/00, und in Sachen L. vom 9. September 2002, P 1/02).</w:t>
      </w:r>
    </w:p>
    <w:p>
      <w:r>
        <w:t>Â Â Â Â Â Â Â Â  In einem den Kanton St. Gallen betreffenden Entscheid in Sachen A. vom 21. August 2001, P 56/99, stellte das EVG auf eine VerkehrswertschÃ¤tzung durch eine Bank ab. Diese SchÃ¤tzung entsprach genau dem auf diesen Betrag festgelegten Verkaufspreis durch eine Immobiliengesellschaft (Erw. 3b).</w:t>
      </w:r>
    </w:p>
    <w:p>
      <w:r>
        <w:t>Â Â Â Â Â Â Â Â  In einem eine Liegenschaft in Tunesien betreffenden Entscheid erkannte das Bundesgericht, dass der relevante Verkehrswert der Liegenschaft nur durch Vergleich mit Ã¤hnlichen Objekten hinreichend genau geschÃ¤tzt werden kÃ¶nne. Massgebende Kriterien seien neben der GrÃ¶sse des GrundstÃ¼cks und der Anzahl Zimmer die Lage (verkehrsmÃ¤ssige Erschliessung, Distanz zum Meer) und die WohnqualitÃ¤t (ruhiges oder lÃ¤rmiges, vornehmes oder Ã¤rmliches Quartier). Von Bedeutung sei auch, ob es ein Objekt fÃ¼r Touristen ist oder aber von Einheimischen bewohnt wird und einen entsprechend tieferen Ausbaustandard aufweist (Urteil des Bundesgerichts in Sachen A. und B. vom 17. September 2009, 9C_540/2009, Erw. 5.3).Â Â</w:t>
      </w:r>
    </w:p>
    <w:p>
      <w:r>
        <w:rPr>
          <w:b/>
        </w:rPr>
        <w:t>E. 4</w:t>
      </w:r>
    </w:p>
    <w:p>
      <w:r>
        <w:t>4.1Â Â Â Â  Aus den Akten ist ersichtlich, dass die BeschwerdefÃ¼hrenden am 9. September 2005 mit ihrer Tochter B.___ die Abtretung ihrer Liegenschaft in E.___, Kanton GraubÃ¼nden, an diese und die EinrÃ¤umung eines ausschliesslichen, lebenslÃ¤nglichen Wohnrechts an die BeschwerdefÃ¼hrenden vereinbarten. Die Parteien vereinbarten sodann, dass die BeschwerdefÃ¼hrenden wÃ¤hrend der Dauer ihres Wohnrechts die Zinsen der grundpfandrechtlich gesicherten Kreditforderung der GraubÃ¼ndner Kantonalbank, H.___, in der HÃ¶he von Fr. 100'000.-- zu tragen haben (Urk. 7/17/2). In den Akten befindet sich sodann ein SchÃ¤tzung der SchÃ¤tzungskommission des Kantons GraubÃ¼nden vom 25. September 2009, worin der Verkehrswert der Liegenschaft inÂ  E.___ mit Fr. 377'300.-- veranlagt wurde (Urk. 7/17/1). Des Weiteren befindet sich eine Bewertung der Liegenschaft in E.___ durch die F.___ AG, E.___, vom 22. Januar 2010 bei den Akten (Urk. 11/1). Darin wurde der Verkehrswert der Liegenschaft per Januar 2010 mit Fr. 362'000.-- bemessen (Urk. 11/1 S. 5).</w:t>
      </w:r>
    </w:p>
    <w:p>
      <w:r>
        <w:t>4.2Â Â Â Â  Aus den Akten ist sodann ersichtlich, dass der BeschwerdefÃ¼hrer 1 und B.___ am 15. Dezember 2006 die Schenkung eines in G.___ gelegenen GrundstÃ¼cks an B.___ vereinbarten (Urk. 7/19/2). Diese Liegenschaft wurde von der SchÃ¤tzungskommission des Kantons Tessin mit Entscheid vom 1. Februar 2004 mit Fr. 70'048.-- veranlagt (Urk. 7/19/1).</w:t>
      </w:r>
    </w:p>
    <w:p>
      <w:r>
        <w:t>4.3Â Â Â Â  Bei der die Liegenschaft in G.___ betreffenden SchÃ¤tzung der SchÃ¤tzungskommission des Kantons Tessin vom 1. Februar 2004 (Urk. 7/19/1) handelt es sich nicht um eine SchÃ¤tzung des Verkaufswerts der Liegenschaft, sondern um eine solche des Steuerwerts der Liegenschaft. Sodann wurde die SchÃ¤tzung bereits am 1. Februar 2004 vorgenommen, weshalb es sich nicht um eine SchÃ¤tzung des Wertes der Liegenschaft zum VerÃ¤usserungszeitpunkt vom 15. Dezember 2006 handelt. In Bezug auf die in G.___ gelegene Liegenschaft kann auf den Entscheid der SchÃ¤tzungskommission des Kantons Tessin vom 1. Februar 2004 (Urk. 7/19/1) daher nicht abgestellt werden. Die Beschwerdegegenerin, an welche die Sache diesbezÃ¼glich zu ergÃ¤nzender SachverhaltsabklÃ¤rung zurÃ¼ckzuweisen ist, wird daher den Verkehrswert der Liegenschaft in G.___ zum VerÃ¤usserungszeitpunkt vom 15. Dezember 2006 mittels geeigneter Methoden ergÃ¤nzend abklÃ¤ren.</w:t>
      </w:r>
    </w:p>
    <w:p>
      <w:r>
        <w:t>4.4Â Â Â Â</w:t>
      </w:r>
    </w:p>
    <w:p>
      <w:r>
        <w:t>4.4.1Â Â  Nicht abgestellt werden kann sodann auf die Bewertung der Liegenschaft in E.___ durch die F.___ AG vom 22. Januar 2010 (Urk. 11/1). Denn einerseits handelt es sich bei der Liegenschaftenbewertung durch die F.___ AG nicht um eine amtliche oder allgemein anerkannte SchÃ¤tzung im Sinne der Rechtsprechung (vgl. Urteile des EVG in Sachen O. vom 22. Februar 2005, P 48/04, Erw. 2 und in Sachen P. vom 7. April 2004, P 9/04, Erw. 4.3). Sodann fÃ¼hrte die F.___ AG eine Bewertung der Liegenschaft per Januar 2010 und nicht eine solche zum VerÃ¤usserungszeitpunkt vom 9. September 2005 durch.</w:t>
      </w:r>
    </w:p>
    <w:p>
      <w:r>
        <w:t>4.4.2Â Â Â Â Â Â Â Â  DemgegenÃ¼ber handelt es sich bei der die Liegenschaft in E.___ betreffenden SchÃ¤tzung der SchÃ¤tzungskommission des Kantons GraubÃ¼nden vom 25. September 2009 (Urk. 7/17/1) um eine amtliche VerkehrswertschÃ¤tzung im Sinne der erwÃ¤hnten Rechtsprechung, auf die grundsÃ¤tzlich abgestellt werden kÃ¶nnte. Indes gilt es diesbezÃ¼glich zu beachten, dass die SchÃ¤tzungskommission des Kantons GraubÃ¼nden die Liegenschaft per 20. September 2009 (Urk. 7/17/1 S. 2) und nicht zum VerÃ¤usserungszeitpunkt vom 9. September 2005 (Urk. 7/17/2 S. 5) bewertete. Aus diesem Grunde kann auf die SchÃ¤tzung der SchÃ¤tzungskommission des Kantons GraubÃ¼nden vom 25. September 2009 (Urk. 7/17/1) der in E.___ gelegenen Liegenschaft nicht abgestellt werden. Die Sache ist daher auch diesbezÃ¼glich an die Beschwerdegegnerin zu ergÃ¤nzender Sachverhaltsermittlung zurÃ¼ckzuweisen. Die Beschwerdegegnerin, welche mittels geeigneter Methoden den Verkehrswert der Liegenschaft in E.___ zum VerÃ¤usserungszeitpunkt vom 9. September 2005 einschÃ¤tzen wird, wird dabei auch die von den BeschwerdefÃ¼hrenden erwÃ¤hnten Berichte von Spezialisten zur Frage nach dem Befall der Liegenschaft in E.___ mit ÂHausschwammÂ (vgl. Urk. 19) berÃ¼cksichtigen und wird - bei Bejahung dieser Frage - prÃ¼fen, ob die Liegenschaft bereits zum VerÃ¤usserungszeitpunkt mit ÂHausschwammÂ befallen war, und ob aus diesem Grunde eine Verminderung des Verkehrswertes resultierte.</w:t>
      </w:r>
    </w:p>
    <w:p>
      <w:r>
        <w:t>4.4.3Â Â  Im Ãbrigen wird die Beschwerdegegnerin prÃ¼fen, ob B.___ beim Ãbergang des Eigentums an der Liegenschaft in E.___ die Schuldpflicht fÃ¼r die grundpfandrechtlich gesicherte Kreditforderung der GraubÃ¼ndner Kantonalbank in der HÃ¶he von Fr. 100'000.-- tatsÃ¤chlich Ã¼bernommen hat (vgl. Urk. 7/17/2 S. 3).</w:t>
      </w:r>
    </w:p>
    <w:p>
      <w:r>
        <w:t>Â Â Â Â Â Â Â Â  Denn nach der Rechtsprechung wird durch Errichtung eines Schuldbriefes eine persÃ¶nliche Forderung begrÃ¼ndet, die grundpfÃ¤ndlich sichergestellt ist (Art. 842 des Zivilgesetzbuches, ZGB). Anders als der missverstÃ¤ndliche Wortlaut von Art. 855 ZGB vermuten lÃ¤sst, wird mit der Errichtung des Schuldbriefes nicht das zu Grunde liegende SchuldverhÃ¤ltnis als solches (Darlehensvertrag; Art. 312 ff. des Obligationenrechts, OR), sondern bloss die Forderung aus dem GrundverhÃ¤ltnis durch Novation getilgt. Hinsichtlich der novierenden Wirkung des Schuldbriefes stellt Art. 855 ZGB lediglich eine gesetzliche Vermutung auf, die - etwa durch Erbringung des Nachweises, der GlÃ¤ubiger habe den Schuldbrief bloss sicherheitshalber (fiduziarisch) und nicht an ErfÃ¼llungsstatt erhalten (SicherungsÃ¼bereignung) - umgestossen werden kann. FÃ¼r die schuldbrieflich gesicherte Forderung haftet nicht nur das verpfÃ¤ndete GrundstÃ¼ck, sondern subsidiÃ¤r auch der Schuldner mit seinem ganzen persÃ¶nlichen VermÃ¶gen. Zur Realsicherheit, die das Pfand bietet, kommt mithin noch der Personalkredit des Schuldners hinzu. Die Person des Schuldners muss dabei nicht identisch mit dem EigentÃ¼mer des PfandgrundstÃ¼cks sein; wie bei der Grundpfandverschreibung (Art. 824 ff. ZGB) kommen auch beim Schuldbrief DrittpfandverhÃ¤ltnisse vor. Nach diesen Bestimmungen bleibt die (dingliche) Haftung des Grundpfandes und die (persÃ¶nliche) Haftung des Schuldners im Falle einer VerÃ¤usserung des belasteten GrundstÃ¼cks vorbehÃ¤ltlich abweichender Verabredung unverÃ¤ndert (Art. 832 Abs. 1 ZGB). Hat der neue EigentÃ¼mer die Schuldpflicht fÃ¼r die Pfandforderung Ã¼bernommen (interne SchuldÃ¼bernahme; Art. 175 OR), so wird der frÃ¼here Schuldner frei, wenn der GlÃ¤ubiger diesem gegenÃ¼ber nicht binnen Jahresfrist schriftlich erklÃ¤rt, ihn beibehalten zu wollen (externe SchuldÃ¼bernahme; Art. 832 Abs. 2 und 834 Abs. 1 ZGB in Verbindung mit Art. 176 f. und 183 OR; zum Ganzen: Urteil des EVG in Sachen K. vom 7. Februar 2003, P 80/01, Erw. 3.2).</w:t>
      </w:r>
    </w:p>
    <w:p>
      <w:r>
        <w:t>Â Â Â Â Â Â Â Â  Falls die durchzufÃ¼hrenden AbklÃ¤rungen ergeben sollten, dass keine persÃ¶nliche SchuldÃ¼bernahme erfolgte, und dass die BeschwerdefÃ¼hrenden weiterhin als persÃ¶nliche Schuldner der Kreditforderung in der HÃ¶he von Fr. 100'000.-- verblieben, werden die Schulden in dieser HÃ¶he bei der Berechnung der ErgÃ¤nzungsleistung mitzuberÃ¼cksichtigen sein.</w:t>
      </w:r>
    </w:p>
    <w:p>
      <w:r>
        <w:t>Das Gericht erkennt:</w:t>
      </w:r>
    </w:p>
    <w:p>
      <w:r>
        <w:t>1.Â Â Â Â Â Â Â Â  Die Beschwerde wird in dem Sinne gutgeheissen, dass der angefochtene Einspracheentscheid vom 12. November 2009 aufgehoben und die Sache an die Stadt ZÃ¼rich, Amt fÃ¼r Zusatzleistungen zur AHV/IV, zurÃ¼ckgewiesen wird, damit dieses, nach erfolgter AbklÃ¤rung im Sinne der ErwÃ¤gungen, Ã¼ber den Anspruch der BeschwerdefÃ¼hrenden auf ErgÃ¤nzungs- und Zusatzleistungen fÃ¼r das Jahr 2009 neu verfÃ¼ge.</w:t>
      </w:r>
    </w:p>
    <w:p>
      <w:r>
        <w:t>2.Â Â Â Â Â Â Â Â  Das Verfahren ist kostenlos.</w:t>
      </w:r>
    </w:p>
    <w:p>
      <w:r>
        <w:t>3.Â Â Â Â Â Â Â Â Â Â  Zustellung gegen Empfangsschein an:</w:t>
      </w:r>
    </w:p>
    <w:p>
      <w:r>
        <w:t>- Stadt ZÃ¼rich, Amt fÃ¼r Zusatzleistungen zur AHV/IV, unter Beilage einer Kopie von Urk. 19</w:t>
      </w:r>
    </w:p>
    <w:p>
      <w:r>
        <w:t>- B.___ unter Beilage einer Kopie von Urk. 14</w:t>
      </w:r>
    </w:p>
    <w:p>
      <w:r>
        <w:t>- Sicherheitsdirektion Kanton ZÃ¼rich</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