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ZL.2009.00075 vom 22. April 2010</w:t>
      </w:r>
    </w:p>
    <w:p>
      <w:r>
        <w:t>ZH Sozialversicherungsgericht, 2010-04-22, DE</w:t>
      </w:r>
    </w:p>
    <w:p>
      <w:r>
        <w:rPr>
          <w:b/>
        </w:rPr>
        <w:t xml:space="preserve">Quelle: </w:t>
      </w:r>
      <w:r>
        <w:t>https://mcp.opencaselaw.ch/entscheid/zh_sozialversicherungsgericht_ZL.2009.00075</w:t>
      </w:r>
    </w:p>
    <w:p>
      <w:r>
        <w:t>FR: ZH_SOZIALVERSICHERUNGSGERICHT ZL.2009.00075 du 22 avril 2010</w:t>
      </w:r>
    </w:p>
    <w:p>
      <w:r>
        <w:t>IT: ZH_SOZIALVERSICHERUNGSGERICHT ZL.2009.00075 del 22 aprile 2010</w:t>
      </w:r>
    </w:p>
    <w:p>
      <w:pPr>
        <w:pStyle w:val="Heading2"/>
      </w:pPr>
      <w:r>
        <w:t>Erwägungen</w:t>
      </w:r>
    </w:p>
    <w:p>
      <w:r>
        <w:rPr>
          <w:b/>
        </w:rPr>
        <w:t>E. 2</w:t>
      </w:r>
    </w:p>
    <w:p>
      <w:r>
        <w:t>2.1Â Â Â Â  Die ErgÃ¤nzungsleistungen zur Alters-, Hinterlassenen- und Invalidenversicherung haben durch das am 1. Januar 2008 in Kraft getretene Bundesgesetz vom 6. Oktober 2006 Ã¼ber die Schaffung von Erlassen zur Neugestaltung des Finanzausgleichs und der Aufgabenteilung zwischen Bund und Kantonen (AS 2007 5779) eine umfassende Neuregelung erfahren (vgl. Urteil des Bundesgerichts in Sachen B. vom 18. Februar 2009, 8C_609/2008 Erw. 3.1).</w:t>
      </w:r>
    </w:p>
    <w:p>
      <w:r>
        <w:t>Â Â Â Â Â Â Â Â Â  Weil in zeitlicher Hinsicht grundsÃ¤tzlich diejenigen (materiellen) RechtssÃ¤tze massgebend sind, die bei der ErfÃ¼llung des zu Rechtsfolgen fÃ¼hrenden Tatbestandes Geltung haben (BGE 132 V 220 Erw. 3.3.1 mit Hinweisen), kommen hier die neuen Bestimmungen zur Anwendung, denn es ist die Leistungspflicht fÃ¼r die Zeit ab 1. Juli 2009 strittig. Die massgeblichen Gesetzes- und Verordnungsbestimmungen werden daher im Folgenden in der am 1. Januar 2008 in Kraft getretenen Fassung zitiert.</w:t>
      </w:r>
    </w:p>
    <w:p>
      <w:r>
        <w:t>2.2Â Â Â Â  Die Kantone bezeichnen die Organe, die fÃ¼r die Entgegennahme der Gesuche und fÃ¼r die Festsetzung und die Auszahlung der ErgÃ¤nzungsleistungen zustÃ¤ndig sind. Sie kÃ¶nnen die kantonalen Ausgleichskassen, nicht aber die SozialhilfebehÃ¶rden mit diesen Aufgaben betrauen (Art. 21 Abs. 2 des Bundesgesetzes Ã¼ber ErgÃ¤nzungsleistungen zur Alters-, Hinterlassenen- und Invalidenversicherung, ELG). Der Kanton ZÃ¼rich hat diese Aufgabe den politischen Gemeinden Ã¼bertragen (Â§ 3 Abs. 1 Zusatzleistungsgesetz, ZLG).</w:t>
      </w:r>
    </w:p>
    <w:p>
      <w:r>
        <w:t>2.3Â Â Â Â  ZustÃ¤ndig fÃ¼r die Festsetzung und die Auszahlung der ErgÃ¤nzungsleistung ist der Kanton, in dem die BezÃ¼gerin oder der BezÃ¼ger Wohnsitz hat. Der Aufenthalt in einem Heim, einem Spital oder einer andern Anstalt und die behÃ¶rdliche oder vormundschaftliche Versorgung einer mÃ¼ndigen oder entmÃ¼ndigten Person in Familienpflege begrÃ¼nden keine neue ZustÃ¤ndigkeit (Art. 21 Abs. 1 ELG). Dabei bestimmt sich der Wohnsitz einer Person nach Art. 23-26 ZGB (Art. 13 Abs. 1 ATSG).</w:t>
      </w:r>
    </w:p>
    <w:p>
      <w:r>
        <w:t>Â Â Â Â Â Â Â Â Â  Dementsprechend regelt Â§ 21 Abs. 1 ZLG im Bereich der innerkantonalen ZustÃ¤ndigkeit, dass die Zusatzleistungen von der Gemeinde zu gewÃ¤hren sind, in welcher die Gesuchsteller ihren zivilrechtlichen Wohnsitz haben.</w:t>
      </w:r>
    </w:p>
    <w:p>
      <w:r>
        <w:t>Â Â Â Â Â Â Â Â Â  Bei streitiger ZustÃ¤ndigkeit haben die kantonalen Versicherungsgerichte und letztinstanzlich das Bundesgericht Ã¼ber die Wohnsitzfrage zu entscheiden (BGE 132 V 79 Erw. 4.1.2).</w:t>
      </w:r>
    </w:p>
    <w:p>
      <w:r>
        <w:t>2.4Â Â Â Â  Als zivilrechtlicher Wohnsitz des Kindes unter elterlicher Sorge gilt der Wohnsitz der Eltern oder, wenn die Eltern keinen gemeinsamen Wohnsitz haben, der Wohnsitz des Elternteils, unter dessen Obhut das Kind steht; in den Ã¼brigen FÃ¤llen gilt sein Aufenthaltsort als Wohnsitz (Art. 25 Abs. 1 ZGB).</w:t>
      </w:r>
    </w:p>
    <w:p>
      <w:r>
        <w:t>Â Â Â Â Â Â Â Â Â  Bevormundete Personen haben ihren Wohnsitz am Sitz der VormundschaftsbehÃ¶rde (Art. 25 Abs. 2 ZGB; Wegleitung Ã¼ber die ErgÃ¤nzungsleistungen zur AHV und IV, WEL, Rz 1016). Ausgenommen von diesem Grundsatz sind volljÃ¤hrige Bevormundete, welche unter die elterliche Sorge gemÃ¤ss Art. 385 Abs. 2 ZGB gestellt wurden. Diese haben gemÃ¤ss den Regeln von Art. 25 Abs. 1 ZGB ihren Wohnsitz am Wohnsitz des Inhabers der elterlichen Gewalt und subsidiÃ¤r am Aufenthaltsort (Staehelin, in: Basler Kommentar, N 12 zu Art. 25).</w:t>
      </w:r>
    </w:p>
    <w:p>
      <w:r>
        <w:t>Â Â Â Â Â Â Â Â Â  Die bevormundete Person kann jedoch mit einer festen, den Mittel- und Schwerpunkt ihrer Lebensbeziehungen erfassenden Niederlassung an einem anderen Ort tatsÃ¤chlichen Wohnsitz begrÃ¼nden. Dann kann die FÃ¼hrung der Vormundschaft der VormundschaftsbehÃ¶rde dieses Niederlassungsortes Ã¼bertragen werden (Art. 377 ZGB).</w:t>
      </w:r>
    </w:p>
    <w:p>
      <w:r>
        <w:rPr>
          <w:b/>
        </w:rPr>
        <w:t>E. 3</w:t>
      </w:r>
    </w:p>
    <w:p>
      <w:r>
        <w:t>3.1Â Â Â Â  Die Parteien gehen Ã¼bereinstimmend und zu Recht davon aus, dass X.___ am Ort ihrer Niederlassung, mithin im Heim in C.___ (A.___), keinen Wohnsitz und keine EL-rechtliche ZustÃ¤ndigkeit begrÃ¼ndet hat (vgl. Urk. 1, Urk. 9 S. 5).</w:t>
      </w:r>
    </w:p>
    <w:p>
      <w:r>
        <w:t>Â Â Â Â Â Â Â Â Â  Fraglich ist hingegen, wie es sich mit dem Wohnsitz im Kanton ZÃ¼rich verhÃ¤lt, mithin welche Gemeinde/Stadt hier zustÃ¤ndig ist zur Erbringung der Zusatzleistungen von X.___.</w:t>
      </w:r>
    </w:p>
    <w:p>
      <w:r>
        <w:t>3.2Â Â Â Â  Die Beschwerdegegnerin ging davon aus, dass jene Gemeinde zur Ausrichtung von ErgÃ¤nzungsleistungen zustÃ¤ndig bleibe, wo die versicherte Person vor dem Heimeintritt Wohnsitz gehabt habe. Eine spÃ¤tere WohnsitzbegrÃ¼ndung am Ort des Heimes, bei Verschiebung der Vormundschaft respektive bei Wegzug des Inhabers der elterlichen Sorge sei bei Heimbewohnern unbeachtlich (Urk. 2).</w:t>
      </w:r>
    </w:p>
    <w:p>
      <w:r>
        <w:t>Â Â Â Â Â Â Â Â Â  Die Beschwerdegegnerin wies sodann darauf hin, dass diese Regelung Gemeinden mit guten Infrastrukturen im Heimbereich vor ungerechtfertigten Kosten mit Zusatzleistungen bewahren solle. Die aktuelle kantonale Gesetzeslage sei jedoch nicht eindeutig in Bezug auf die EL-rechtliche ZustÃ¤ndigkeit, wenn bei Heimbewohnern die Vormundschaft von einer anderen Gemeinde Ã¼bernommen wird oder der Inhaber der elterlichen Sorge umzieht oder - wie hier - verstirbt. Auch unter der Herrschaft der mit der Neugestaltung des Finanzausgleiches und der Aufgabenteilung zwischen Bund und Kantonen (NFA) neu eingefÃ¼hrten Â§ 21 ZLG und Art. 21 ELG werde das Ziel einer gerechten Verteilung der finanziellen Belastung unter den Gemeinden verfolgt. Nach einem Heimeintritt sei daher die BegrÃ¼ndung einer neuen EL-ZustÃ¤ndigkeit bei direkten wie auch bei abgeleiteten Wohnsitzverschiebungen bei Ãnderung der VormundschaftsbehÃ¶rde ausgeschlossen. Mit der Errichtung der elterlichen Sorge Ã¼ber die Versicherte seien Ã¼berdies bereits vormundschaftliche Massnahmen getroffen worden, weshalb nicht von einer erstmaligen Errichtung der Vormundschaft in Y.___ gesprochen werden kÃ¶nne.</w:t>
      </w:r>
    </w:p>
    <w:p>
      <w:r>
        <w:t>3.3Â Â Â Â  Dagegen vertrat die BeschwerdefÃ¼hrerin die Auffassung, sie habe bereits wÃ¤hrend des Heimaufenthaltes der Versicherten im Kanton A.___ Zusatzleistungen ausgerichtet, auch nachdem die Mutter per 15. Juni 2007 ihren Wohnsitz nach Y.___ verlegt hatte, weil die Versicherte unter der elterlichen Sorge der Mutter gestanden habe. Denn wÃ¤hrend des Heimaufenthalts kÃ¶nnten keine VerÃ¤nderungen mit Auswirkungen auf die zusatzleistungsrechtliche ZustÃ¤ndigkeit erfolgen (WEL Rz 1016). Die Mutter sei im FrÃ¼hjahr 2009 verstorben, worauf die Y.___ fÃ¼r die Versicherte eine Vormundschaft errichtet habe. Bei einer Ãbertragung der Vormundschaft werde im EL-Recht nicht mehr der Wohnsitz bei Heimeintritt weitergefÃ¼hrt, sondern ein solcher am Sitz der VormundschaftsbehÃ¶rde neu begrÃ¼ndet.</w:t>
      </w:r>
    </w:p>
    <w:p>
      <w:r>
        <w:t>Â Â Â Â Â Â Â Â Â  Daher sei nun Y.___ zustÃ¤ndig zur Ausrichtung von Zusatzleistungen (Urk. 1 S. 2).</w:t>
      </w:r>
    </w:p>
    <w:p>
      <w:r>
        <w:rPr>
          <w:b/>
        </w:rPr>
        <w:t>E. 4</w:t>
      </w:r>
    </w:p>
    <w:p>
      <w:r>
        <w:t>4.1Â Â Â Â  Aus zivilrechtlicher Sicht steht fest, dass der Heimaufenthalt der Versicherten am Ort des Heimes keinen Wohnsitz begrÃ¼ndet hat. Weiter ist erstellt, dass die Versicherte unter der elterlichen Sorge der Mutter mit dieser im Juni 2007 ihren Wohnsitz von Z.___ nach Y.___ verlegt hat (vgl. vorstehend Erw. 2.4). Mit Beschluss der VormundschaftsbehÃ¶rde Y.___ vom 16. April 2006 wurde X.___ unter Vormundschaft gestellt (Urk. 3/3). Seither befindet sich ihr zivilrechtlicher Wohnsitz am Sitz der VormundschaftsbehÃ¶rde (Art. 25 Abs. 2 ZGB).</w:t>
      </w:r>
    </w:p>
    <w:p>
      <w:r>
        <w:t>Â Â Â Â Â Â Â Â Â  Daran Ã¤ndert sich auch nichts bei der Sichtweise der Beschwerdegegnerin, dass bereits frÃ¼her vormundschaftliche Massnahmen bestanden und somit nicht von einer Neuerrichtung der Vormundschaft in Y.___ gesprochen werden kann. So oder anders hat X.___ im hier fraglichen Zeitpunkt bei Erlass der angefochtenen VerfÃ¼gung ihren zivilrechtlichen Wohnsitz bei der VormundschaftsbehÃ¶rde in Y.___.</w:t>
      </w:r>
    </w:p>
    <w:p>
      <w:r>
        <w:t>Â Â Â Â Â Â Â Â Â  Zivilrechtlich war hiebei auch keine Ãbernahme der Vormundschaft im Sinne von Art. 377 ZGB notwendig, da die Versicherte - wie vorstehend gesagt - bereits vor Erlass des Beschlusses der VormundschaftsbehÃ¶rde vom 16. April 2009 in Y.___ Wohnsitz hatte.</w:t>
      </w:r>
    </w:p>
    <w:p>
      <w:r>
        <w:t>4.2Â Â Â Â  Zu prÃ¼fen bleibt, ob die Beschwerdegegnerin gestÃ¼tzt auf Art. 21 Abs. 1 ELG respektive den gleichlautenden Â§ 21 Abs. 2 ZLG zu Recht geltend machte, angesichts der Vormundschaft sowie des Heimaufenthalts der Versicherten werde keine neue ZustÃ¤ndigkeit in Y.___ begrÃ¼ndet. Dabei handelt es sich allein um eine EL-rechtliche und nicht mehr um eine zivilrechtliche Frage.</w:t>
      </w:r>
    </w:p>
    <w:p>
      <w:r>
        <w:t>4.3Â Â Â Â  Der bis am 31. Dezember 2007 in Kraft gewesene Art. 1a Abs. 3 ELG, wonach der Wohnsitz des BezÃ¼gers die Ã¶rtliche EL-ZustÃ¤ndigkeit begrÃ¼nde, fÃ¼hrte bei Heimbewohnern und -bewohnerinnen in der Praxis hÃ¤ufig zu Unklarheiten. Daher wurde in Bezug auf die Ã¶rtliche ZustÃ¤ndigkeit bei Heimaufenthalt im Rahmen der NFA ausdrÃ¼cklich geregelt, dass der Aufenthalt unter anderem in einem Heim keine neue ZustÃ¤ndigkeit begrÃ¼ndet (Art. 21 Abs. 1 Satz 2 ELG). Vielmehr bleibt weiterhin der Kanton zustÃ¤ndig, in dem die Person ihren Wohnsitz vor dem Eintritt in das Heim hatte. Dies gilt selbst dann, wenn die Person am Ort des Heimes einen neuen Wohnsitz begrÃ¼ndet (WEL Rz 1026.2; Carigiet, ErgÃ¤nzungsleistungen zur AHV/IV, 2. Auflage 2009, S. 79).</w:t>
      </w:r>
    </w:p>
    <w:p>
      <w:r>
        <w:t>Â Â Â Â Â Â Â Â Â  Mit dieser LÃ¶sung soll vermieden werden, dass es zu einer Verschiebung von Dossiers zwischen den Kantonen kommt, was einen grossen administrativen Aufwand zur Folge hÃ¤tte und im Endeffekt praktisch zu einem ÂNullsummenspielÂ fÃ¼hrte (AHV/EL-Mitteilungen Nr. 211 vom 5. November 2007; Carigiet, a.a.O., S. 80 Fn 245).</w:t>
      </w:r>
    </w:p>
    <w:p>
      <w:r>
        <w:t>Â Â Â Â Â Â Â Â Â  Der Gesetzgeber hat in den Ãbergangsbestimmungen nichts zur zeitlichen Anwendbarkeit der neuen Regelung angeordnet. In der AHV/EL-Mitteilung Nr. 211 vom 5. November 2007 hat das Bundesamt fÃ¼r Sozialversicherungen (BSV) diese neue ZustÃ¤ndigkeitsreglung betreffend HeimfÃ¤lle nur fÃ¼r anwendbar erklÃ¤rt bei neuen EL-FÃ¤llen oder bei bestehenden EL-FÃ¤llen, in denen sich unter dem neuen Recht Ãnderungen (Eintritt ins Heim, Kantonswechsel) ergeben.</w:t>
      </w:r>
    </w:p>
    <w:p>
      <w:r>
        <w:t>4.4Â Â Â Â  Aufgrund dieser Mitteilung des BSV ist die seit 1. Januar 2008 in Kraft stehende Bestimmung hier nicht anwendbar. Denn es ist weder ein neuer Leistungsfall zu beurteilen, noch hat sich eine der genannten Ãnderungen ergeben.</w:t>
      </w:r>
    </w:p>
    <w:p>
      <w:r>
        <w:t>Â Â Â Â Â Â Â Â Â  Allerdings kann offen bleiben, ob hier Art. 21 Abs. 1 Satz 2 ELG heranzuziehen ist, da Â§ 21 Abs. 2 ZLG bereits mit der Fassung vom 7. Februar 1971 mit Bezug auf die ZustÃ¤ndigkeit fÃ¼r die ErgÃ¤nzungsleistungen bei Heimeintritten im interkantonalen VerhÃ¤ltnis festhielt, dass fÃ¼r die Festsetzung und Auszahlung der ErgÃ¤nzungsleistungen die letzte Wohngemeinde vor Heimeintritt der betroffenen Person zustÃ¤ndig ist.</w:t>
      </w:r>
    </w:p>
    <w:p>
      <w:r>
        <w:t>Â Â Â Â Â Â Â Â Â  Die BeschwerdefÃ¼hrerin hat in Nachachtung dieser gesetzlichen Regelung nach dem Heimeintritt (wohl) im Jahr 2001 und nach Verschiebung des Wohnsitzes infolge Umzuges der Mutter nach Y.___ ihre ZustÃ¤ndigkeit zur weiteren Ausrichtung der ErgÃ¤nzungsleistungen somit zu Recht nicht in Frage gestellt.</w:t>
      </w:r>
    </w:p>
    <w:p>
      <w:r>
        <w:t>4.5Â Â Â Â  Entgegen der Auffassung der BeschwerdefÃ¼hrerin Ã¤ndert an ihrer ZustÃ¤ndigkeit auch die Errichtung der Vormundschaft am 16. April 2009 nichts, da der Gesetzgeber zunÃ¤chst im innerkantonalen zÃ¼rcherischen und spÃ¤ter auch im interkantonalen VerhÃ¤ltnis eine Ãnderung der EL-ZustÃ¤ndigkeit bei Heimaufenthalt von vornherein ausgeschlossen hat.</w:t>
      </w:r>
    </w:p>
    <w:p>
      <w:r>
        <w:t>Â Â Â Â Â Â Â Â Â  Zudem fÃ¤llt ins Gewicht, dass die BegrÃ¼ndung dieser Vormundschaft nicht darauf zurÃ¼ckzufÃ¼hren ist, dass X.___ direkt einen entsprechenden Wohnsitzwechsel erwirkt hÃ¤tte. Hiezu war sie angesichts der fehlenden UrteilsfÃ¤higkeit einerseits nicht im Stande, und andererseits ist die Y.___ angesichts des dauernden Aufenthalts im Heim auch nicht Mittel- und Schwerpunkt ihrer Lebensbeziehung. Dies wÃ¤re jedoch Voraussetzung, damit die bevormundete Person an einem anderen Ort tatsÃ¤chlichen Wohnsitz begrÃ¼nden kÃ¶nnte, was gegebenenfalls zur Ãbertragung der Vormundschaft an die VormundschaftsbehÃ¶rde und der EL-ZustÃ¤ndigkeit am neuen Ort fÃ¼hren kÃ¶nnte (Art. 377 ZGB; Carigiet, a.a.O., S. 79 oben).</w:t>
      </w:r>
    </w:p>
    <w:p>
      <w:r>
        <w:t>4.6Â Â Â Â  Nach dem Gesagten fÃ¤llt ein Wechsel der EL-ZustÃ¤ndigkeit nach Heimeintritt, ohne dass eine wesentliche persÃ¶nliche VerÃ¤nderung bei der Versicherten und deren Niederlassungsort stattgefunden hÃ¤tte, nicht mehr in Betracht. Die Beschwerdegegnerin ist demnach zu Recht auf das Leistungsgesuch von X.___ nicht eingetreten.</w:t>
      </w:r>
    </w:p>
    <w:p>
      <w:r>
        <w:t>Â Â Â Â Â Â Â Â Â  Dies fÃ¼hrt zur Abweisung der Beschwerde.</w:t>
      </w:r>
    </w:p>
    <w:p>
      <w:r>
        <w:t>5.Â Â Â Â Â Â  Trotz des Obsiegens ist der Beschwerdegegnerin keine ProzessentschÃ¤digung zuzusprechen, da sie als mit einer Ã¶ffentlichen Aufgabe betraute Organisation hierauf keinen Anspruch hat.</w:t>
      </w:r>
    </w:p>
    <w:p>
      <w:r>
        <w:t>Das Gericht erkennt:</w:t>
      </w:r>
    </w:p>
    <w:p>
      <w:r>
        <w:t>1.Â Â Â Â Â Â Â Â  Die Beschwerde wird abgewiesen.</w:t>
      </w:r>
    </w:p>
    <w:p>
      <w:r>
        <w:t>2.Â Â Â Â Â Â Â Â  Das Verfahren ist kostenlos.</w:t>
      </w:r>
    </w:p>
    <w:p>
      <w:r>
        <w:t>3.Â Â Â Â Â Â Â Â  Der Beschwerdegegnerin wird keine ProzessentschÃ¤digung zugesprochen.</w:t>
      </w:r>
    </w:p>
    <w:p>
      <w:r>
        <w:t>4.Â Â Â Â Â Â Â Â  Zustellung gegen Empfangsschein an:</w:t>
      </w:r>
    </w:p>
    <w:p>
      <w:r>
        <w:t>- Z.___</w:t>
      </w:r>
    </w:p>
    <w:p>
      <w:r>
        <w:t>- Y.___</w:t>
      </w:r>
    </w:p>
    <w:p>
      <w:r>
        <w:t>- Vormundin D.___</w:t>
      </w:r>
    </w:p>
    <w:p>
      <w:r>
        <w:t>- Bundesamt fÃ¼r Sozialversicherungen</w:t>
      </w:r>
    </w:p>
    <w:p>
      <w:r>
        <w:t>- Sicherheitsdirektion des Kantons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