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ZL.2009.00043 vom 30. März 2011</w:t>
      </w:r>
    </w:p>
    <w:p>
      <w:r>
        <w:t>ZH Sozialversicherungsgericht, 2011-03-30, DE</w:t>
      </w:r>
    </w:p>
    <w:p>
      <w:r>
        <w:rPr>
          <w:b/>
        </w:rPr>
        <w:t xml:space="preserve">Quelle: </w:t>
      </w:r>
      <w:r>
        <w:t>https://mcp.opencaselaw.ch/entscheid/zh_sozialversicherungsgericht_ZL.2009.00043</w:t>
      </w:r>
    </w:p>
    <w:p>
      <w:r>
        <w:t>FR: ZH_SOZIALVERSICHERUNGSGERICHT ZL.2009.00043 du 30 mars 2011</w:t>
      </w:r>
    </w:p>
    <w:p>
      <w:r>
        <w:t>IT: ZH_SOZIALVERSICHERUNGSGERICHT ZL.2009.00043 del 30 marzo 2011</w:t>
      </w:r>
    </w:p>
    <w:p>
      <w:pPr>
        <w:pStyle w:val="Heading2"/>
      </w:pPr>
      <w:r>
        <w:t>Erwägungen</w:t>
      </w:r>
    </w:p>
    <w:p>
      <w:r>
        <w:rPr>
          <w:b/>
        </w:rPr>
        <w:t>E. 2</w:t>
      </w:r>
    </w:p>
    <w:p>
      <w:r>
        <w:t>2.1Â Â Â Â  Nach Art. 9 Abs. 1 des Bundesgesetzes Ã¼ber ErgÃ¤nzungsleistungen zur Alters-, Hinterlassenen- und Invalidenversicherung (ELG) entspricht die jÃ¤hrliche ErgÃ¤nzungsleistung dem Betrag, um den die anerkannten Ausgaben die anrechenbaren Einnahmen Ã¼bersteigen. Die kantonalen Beihilfen basieren auf dem gleichen System wie die ErgÃ¤nzungsleistungen (vgl. Â§ 15 des Gesetzes des Kantons ZÃ¼rich Ã¼ber die Zusatzleistungen zur eidgenÃ¶ssischen Alters-, Hinterlassenen- und Invalidenversicherung, ZLG). Ferner verweist Art. 12 der Verordnung der Stadt ZÃ¼rich Ã¼ber den Vollzug des Gesetzes Ã¼ber die Zusatzleistungen zur AHV/IV und die GewÃ¤hrung von GemeindezuschÃ¼ssen (VVOZLG) auf das ZLG.</w:t>
      </w:r>
    </w:p>
    <w:p>
      <w:r>
        <w:t>2.2Â Â Â Â  UnrechtmÃ¤ssig bezogene Zusatzleistungen sind vom BezÃ¼ger oder der BezÃ¼gerin zurÃ¼ckzuerstatten (Art. 25 Abs. 1 des Bundesgesetzes Ã¼ber den Allgemeinen Teil des Sozialversicherungsrechts, ATSG). Zu Unrecht bezogene Geldleistungen kÃ¶nnen nur zurÃ¼ckgefordert werden, wenn entweder die fÃ¼r die WiedererwÃ¤gung (wegen zweifelloser Unrichtigkeit und erheblicher Bedeutung der Berichtigung) oder die fÃ¼r die prozessuale Revision (wegen vorbestandener neuer Tatsachen oder Beweismittel) bestehenden Voraussetzungen im Sinne von Art. 53 ATSG erfÃ¼llt sind (BGE 129 V 110 Erw. 1). Bei der Neuberechnung von Zusatzleistungen zur Ermittlung des RÃ¼ckerstattungsbetrages ist von den VerhÃ¤ltnissen auszugehen, wie sie im RÃ¼ckerstattungszeitraum tatsÃ¤chlich bestanden haben. Namentlich sind alle anspruchsrelevanten TatsachenÃ¤nderungen zu berÃ¼cksichtigen (BGE 122 V 24 ff. Erw. 5; Urteil des EidgenÃ¶ssischen Versicherungsgerichts vom 8. Mai 2003 in Sachen D. und T., P 63/02, Erw. 3.3).</w:t>
      </w:r>
    </w:p>
    <w:p>
      <w:r>
        <w:t>2.3Â Â Â Â  Im Gegensatz zu ErgÃ¤nzungsleistungen, die einzig dann zurÃ¼ckzuerstatten sind, wenn sie zu Unrecht bezogen wurden, sind nach Â§ 19 Abs. 1 lit. a ZLG und Art. 12 VVOZLG auch rechtmÃ¤ssig bezogene Beihilfen und GemeindezuschÃ¼sse in der Regel zurÃ¼ckzuerstatten, wenn bisherige oder frÃ¼here BezÃ¼ger in gÃ¼nstige VerhÃ¤ltnisse gekommen sind.</w:t>
      </w:r>
    </w:p>
    <w:p>
      <w:r>
        <w:t>2.4Â Â Â Â  Nach Art. 17 der Verordnung Ã¼ber die ErgÃ¤nzungsleistungen zur Alters-, Hinterlassenen- und Invalidenversicherung (ELV) ist das anrechenbare VermÃ¶gen nach den GrundsÃ¤tzen Ã¼ber die direkte kantonale Steuer fÃ¼r die Bewertung des VermÃ¶gens im Wohnsitzkanton zu bewerten (Abs. 1). Dienen GrundstÃ¼cke dem BezÃ¼ger nicht zu eigenen Wohnzwecken, so sind diese zum Verkehrswert einzusetzen (Abs. 2). Die Kantone kÃ¶nnen anstelle des Verkehrswertes einheitlich den fÃ¼r die interkantonale Steuerausscheidung massgebenden Repartitionswert anwenden (Abs. 4).</w:t>
      </w:r>
    </w:p>
    <w:p>
      <w:r>
        <w:t>Â Â Â Â Â Â Â Â  FÃ¼r die Anrechnung von ErbschaftsvermÃ¶gen ist der Zeitpunkt des Erwerbs der Erbschaft (Art. 560 des Zivilgesetzbuches, ZGB) massgebend und nicht derjenige, in welchem der ErgÃ¤nzungsleistungsansprecher Ã¼ber seinen Erbteil effektiv verfÃ¼gen kann. Der Anteil an einer unverteilten Erbschaft stellt ab dem Zeitpunkt der ErÃ¶ffnung des Erbgangs grundsÃ¤tzlich einen VermÃ¶genswert dar, der auch im Rahmen der ErgÃ¤nzungsleistungsberechnung zu berÃ¼cksichtigen ist (Urteil des Bundesgerichts in Sachen K. vom 12. April 2010, 9C_1067/2009, Erw. 2.3).</w:t>
      </w:r>
    </w:p>
    <w:p>
      <w:r>
        <w:t>Â Â Â Â Â Â Â Â</w:t>
      </w:r>
    </w:p>
    <w:p>
      <w:r>
        <w:rPr>
          <w:b/>
        </w:rPr>
        <w:t>E. 3</w:t>
      </w:r>
    </w:p>
    <w:p>
      <w:r>
        <w:t>3.1Â Â Â Â  Im Steuerinventar der Stadt C.___ vom 27. August 2008 wird das ReinvermÃ¶gen der im Januar 2008 verstorbenen Mutter des BeschwerdefÃ¼hrers auf Fr. 838'259.- beziffert (Urk. 7/60). Der Anteil des BeschwerdefÃ¼hrers als Erbe belÃ¤uft sich auf einen Sechstel des ErbschaftsvermÃ¶gens (Urk. 1). Aufgrund dieses Erbanteils war die Beschwerdegegnerin im Sinne einer prozessualen Revision (Erw. 2.2) verpflichtet, auf ihre ursprÃ¼ngliche Berechnung der Zusatzleistungen ab 1. Februar 2008 zurÃ¼ckzukommen, was unbestritten ist. Dabei berÃ¼cksichtigt die Beschwerdegegnerin ein neues VermÃ¶gen des BeschwerdefÃ¼hrers von ungefÃ¤hr Fr. 200'000.- (Urk. 2). Hinsichtlich der Berechnung dieses VermÃ¶gens bringt der BeschwerdefÃ¼hrer in seiner Beschwerde vom 24. Mai 2009 (Urk. 1) verschiedene EinwÃ¤nde vor. Darauf ist im Folgenden im Einzelnen einzugehen, wobei zunÃ¤chst das VermÃ¶gen per 1. Februar 2008 (ErwÃ¤gung 3.2) und sodann dasjenige per 1. Januar 2009 (ErwÃ¤gung 3.3; Art. 23 Abs. 1 ELV) zu ermitteln ist.</w:t>
      </w:r>
    </w:p>
    <w:p>
      <w:r>
        <w:rPr>
          <w:b/>
        </w:rPr>
        <w:t>E. 3.2</w:t>
      </w:r>
    </w:p>
    <w:p>
      <w:r>
        <w:t>3.2.1Â Â  Hauptbestandteil des Nachlasses bilden die 200 Namenaktien der D.___ AG (Steuerinventar, Urk. 7/60; Handelsregisterauszug, Urk. 7/73). Hauptaktivum der Aktiengesellschaft bilden zwei Liegenschaften in Y.___ (Kanton A.___) und zwei Wohnungen in E.___ (Kanton Z.___; Jahresrechnung der Firma fÃ¼r 2008, Urk. 7/83; Urk. 7/76). Die Beschwerdegegnerin macht geltend (Urk. 2), bei dieser Firma handle es sich um eine Immobiliengesellschaft mit dem ausschliesslichen Zweck der Verwaltung des VermÃ¶gens der Familie X.___. Daher sei bei der Ermittlung des Anspruchs auf Zusatzleistungen nicht auf den Steuerwert der Aktien, sondern vielmehr (unmittelbar) auf den tatsÃ¤chlichen Verkehrswert der von der Firma gehaltenen GrundstÃ¼cke abzustellen. Dagegen stellt der BeschwerdefÃ¼hrer diesbezÃ¼glich bei seiner Berechnung grundsÃ¤tzlich auf den Steuerwert der Aktien ab (Urk. 1, Urk. 3/1).</w:t>
      </w:r>
    </w:p>
    <w:p>
      <w:r>
        <w:t>Â Â Â Â Â Â Â Â  Entgegen den eigenen Vorbringen, wonach vorliegend auf den tatsÃ¤chlichen Verkehrswert der GrundstÃ¼cke abzustellen sei, beschrÃ¤nkt sich die Beschwerdegegnerin jedoch auf die Berechnung von deren Repartitionswerten (Urk. 2, Urk. 7/76). Aufgrund der massgebenden Repartitionswerte (Urk. 14) ist die Berechnung der Beschwerdegegnerin aufgrund der von ihr verwendeten Umrechnungsfaktoren von "80 %/70 %" bezÃ¼glich der Liegenschaften im Kanton A.___ und 100 % bei den Wohnungen im Kanton Z.___ (Urk. 7/76) zudem nicht nachvollziehbar. Schliesslich ist fraglich, ob bei diesen GrundstÃ¼cken im jetzigen Zeitpunkt noch eine VerkehrswertschÃ¤tzung vorgenommen werden kÃ¶nnte, nachdem der BeschwerdefÃ¼hrer vorbrachte, seine Aktien zwischenzeitlich verÃ¤ussert zu haben (Urk. 10).</w:t>
      </w:r>
    </w:p>
    <w:p>
      <w:r>
        <w:t>Â Â Â Â Â Â Â Â  Indessen kann gemÃ¤ss den nachfolgenden ErwÃ¤gungen offen bleiben, wie der Verkehrswert dieser GrundstÃ¼cke zu ermitteln ist. Denn auch wenn es sich bei der D.___ AG um eine Immobiliengesellschaft handelt, deren Aktien im massgebenden Zeitraum von den sechs Erben gehalten wurden, besteht entgegen der Auffassung der Beschwerdegegnerin kein Anlass dazu, im Zusammenhang mit der Streitfrage ungeachtet der rechtlichen VerhÃ¤ltnisse unmittelbar auf den Verkehrswert der GrundstÃ¼cke zu greifen. Die rechtliche SelbstÃ¤ndigkeit juristischer Personen ist auch im vorliegenden Zusammenhang grundsÃ¤tzlich zu beachten. Ein Abweichen davon bedarf nach der Rechtsprechung regelmÃ¤ssig besonderer UmstÃ¤nde, wozu allein das Vorliegen einer Immobiliengesellschaft nicht genÃ¼gt (BGE 99 Ia 459; Urteil des Bundesgerichts in Sachen X. und Y. vom 19. November 2009, 2C_355/2009, Erw. 5.1 und 6.2; Urteil des EidgenÃ¶ssischen Versicherungsgerichts [heute: Bundesgericht] in Sachen A. vom 30. April 2003, H 327/00, Erw. 4.2). Vorliegend liegt weder eine ungewÃ¶hnliche, sachwidrige oder absonderliche Rechtsgestaltung vor, noch bestehen konkrete Anhaltspunkte fÃ¼r ein rechtsmissbrÃ¤uchliches Vorgehen. Zudem konnte der BeschwerdefÃ¼hrer insbesondere zwar Ã¼ber seinen Aktienanteil frei verfÃ¼gen (VerÃ¤usserung, VerpfÃ¤ndung), nicht jedoch Ã¼ber die von der Aktiengesellschaft gehaltenen GrundstÃ¼cke als solche (BGE 122 V 24 Erw. 5a). Unter diesen UmstÃ¤nden ist nach Art. 17 Abs. 1 ELV der VermÃ¶genssteuerwert der vom BeschwerdefÃ¼hrer erworbenen Aktien massgebend. Dieser betrug pro Aktie per Ende 2007 unbestrittenermassen Fr. 3'800.- (Schreiben des kantonalen Steueramtes des Kantons A.___ vom 12. Dezember 2008 mit den zugehÃ¶rigenÂ  BerechnungsblÃ¤ttern, Urk. 7/70-72; Urk. 2, Urk. 3/1), mithin bei 33 1/3 Aktien Fr. 126'666.70. GemÃ¤ss den Akten hat sich daran bis 1. Februar 2008 nichts geÃ¤ndert, weshalb am 1. Februar 2008 von diesem Betrag auszugehen ist. Entgegen der Auffassung des BeschwerdefÃ¼hrers (Urk. 3/1) ist an diesem Wert nicht noch zusÃ¤tzlich ein Nettoabzug vorzunehmen.</w:t>
      </w:r>
    </w:p>
    <w:p>
      <w:r>
        <w:t>3.2.2Â Â  Zum VermÃ¶gen des BeschwerdefÃ¼hrers per 1. Februar 2008 gehÃ¶rt auch sein Anteil von einem Sechstel am Kontokorrentguthaben der Verstorbenen von Fr. 139'746.-, was unbestritten ist (Urk. 1, Urk. 2; Jahresrechnung der D.___ AG fÃ¼r das Jahr 2008, Spalte Vorjahressaldo, Urk. 7/83). Da dieser Anteil dem BeschwerdefÃ¼hrer per Ende 2008 im Umfang von Fr. 24'515.38 (inklusive aufgelaufener Zinsen) gutschrieben wurde (Bilanz der Firma, Urk. 7/83, Kontoauszug, Urk. 3/4), ist er entgegen der Auffassung der Beschwerdegegnerin (Urk. 2 S. 3) nicht mehr zusÃ¤tzlich zum Anteil des BeschwerdefÃ¼hrers am Betrag von Fr. 139'746.- bei dessen VermÃ¶gen aufzurechnen.</w:t>
      </w:r>
    </w:p>
    <w:p>
      <w:r>
        <w:t>3.2.3Â Â  Zum VermÃ¶gen des BeschwerdefÃ¼hrers per 1. Februar 2008 gehÃ¶rt im Weiteren sein Anteil am Bankguthaben der Verstorbenen von Fr. 17'900.- (Steuerinventar, Urk. 7/60). Der BeschwerdefÃ¼hrer legte jedoch mit den von ihm vorgelegten Bankbelegen (Urk. 3/2-3) glaubhaft dar, dass sich dieses Bankguthaben nach Begleichung der Erbgangskosten nur noch auf Fr. 7'690.60 und sein Anteil daran letztlich auf Fr. 1'281.75 (Fr. 7'690.60 : 6) belief. Dies blieb von der Beschwerdegegnerin in ihrer Vernehmlassung unwidersprochen (Urk. 6). Per 1. Februar 2008 ist dieser Anteil somit auf Fr. 1'281.75 festzusetzen.</w:t>
      </w:r>
    </w:p>
    <w:p>
      <w:r>
        <w:t>3.2.4Â Â  Zum VermÃ¶gen des BeschwerdefÃ¼hrers per 1. Februar 2008 gehÃ¶ren im Weiteren sein Anteil von einem Sechstel an einem GrundstÃ¼ck im Kanton B.___ im Wert von Fr. 27'000.- sowie an einem Anteilsschein der Baugenossenschaft Y.___ im Betrag von Fr. 10'000.- (Urk. 1, Urk. 2; Steuerinventar, Urk. 7/60; Schreiben der Steuerverwaltung des Kantons B.___ vom 28. MÃ¤rz 2008, Urk. 7/59). Ein weiterer im Nachlassinventar (Urk. 7/60) aufgefÃ¼hrter Anteilsschein der Baugenossenschaft Y.___ betreffend die Liegenschaft F.___ ist hingegen aufgrund eines Schreibens dieser Baugenossenschaft vom 18. Mai 2007 (Urk. 7/67) sowie auch aufgrund der Jahresrechnung fÃ¼r das Jahr 2008 (Posten Wertschriften, Urk. 7/83) der D.___ AG selber zuzurechnen, weshalb sich das VermÃ¶gen des BeschwerdefÃ¼hrers per 1. Februar 2008 entgegen der Auffassung der Beschwerdegegnerin (Urk. 2) insoweit nicht erhÃ¶ht hat.</w:t>
      </w:r>
    </w:p>
    <w:p>
      <w:r>
        <w:t>3.2.5Â Â  Die Ã¼brigen im Steuerinventar (Urk. 7/60) aufgefÃ¼hrten Aktiven und Passiven kÃ¶nnen in Ãbereinstimmung mit der Auffassung der Beschwerdegegnerin (Urk. 2) bei der Berechnung des VermÃ¶gens des BeschwerdefÃ¼hrers vernachlÃ¤ssigt werden.</w:t>
      </w:r>
    </w:p>
    <w:p>
      <w:r>
        <w:t>3.2.6Â Â  Zusammenfassend hat die Beschwerdegegnerin somit das VermÃ¶gen des BeschwerdefÃ¼hrer per 1. Februar 2008 im Sinne der obigen ErwÃ¤gung 3.2 sowie unter BerÃ¼cksichtigung von Schulden von Fr. 111'650.- (Urk. 2 S. 4, Urk. 1) neu festzusetzen.</w:t>
      </w:r>
    </w:p>
    <w:p>
      <w:r>
        <w:t>3.3Â Â Â Â  GemÃ¤ss den Akten und den Vorbringen des BeschwerdefÃ¼hrers (Urk. 1) hat sich an diesem VermÃ¶gen bis 1. Januar 2009 (Art. 23 Abs. 1 ELV) grundsÃ¤tzlich nichts geÃ¤ndert. Jedoch wird die Beschwerdegegnerin den Steuerwert des Aktienanteils (Erw. 3.2.1) per 1. Januar 2009 noch abzuklÃ¤ren haben. GestÃ¼tzt darauf hat sie das VermÃ¶gen per 1. Januar 2009 neu zu berechnen, unter BerÃ¼cksichtigung eines unbestrittenen Bankguthabens per 1. Januar 2009 von Fr. 95.- (Urk. 3/1).</w:t>
      </w:r>
    </w:p>
    <w:p>
      <w:r>
        <w:t>4.Â Â Â Â Â Â  Im Ãbrigen blieb die Berechnung der Zusatzleistungen gemÃ¤ss der VerfÃ¼gung vom 10. Februar 2009 (Urk. 3/7) unbestritten und ist, abgesehen von den VerÃ¤nderungen beim VermÃ¶gensverzehr und allenfalls bei den VermÃ¶gensertrÃ¤gen, mangels konkreter Anhaltspunkte fÃ¼r Berechnungsfehler zu bestÃ¤tigen. Auf die Vorbringen des BeschwerdefÃ¼hrers, wonach er seine Aktien zwischenzeitlich verÃ¤ussert habe (Urk. 1, Urk. 10-11), ist nicht einzugehen, da dieser Verkauf gemÃ¤ss seiner Eingabe vom 26. November 2010 (Urk. 10) erst nach dem massgebenden Zeitpunkt des angefochtenen Entscheids (29. April 2009, Urk. 2) erfolgte.</w:t>
      </w:r>
    </w:p>
    <w:p>
      <w:r>
        <w:t>Â Â Â Â Â Â Â Â  Der Einspracheentscheid vom 29. April 2009 (Urk. 2) ist somit aufzuheben und die Sache ist an die Beschwerdegegnerin zurÃ¼ckzuweisen, damit sie den Anspruch des BeschwerdefÃ¼hrers auf Zusatzleistungen fÃ¼r die Zeit ab 1. Februar 2008 und 1. Januar 2009 im Sinne der ErwÃ¤gungen neu ermittle, die RÃ¼ckerstattungsansprÃ¼che dementsprechend neu festlege und hernach darÃ¼ber neu verfÃ¼ge. Diese ErwÃ¤gungen fÃ¼hren zur teilweisen Gutheissung der Beschwerde.</w:t>
      </w:r>
    </w:p>
    <w:p>
      <w:r>
        <w:t>Das Gericht erkennt:</w:t>
      </w:r>
    </w:p>
    <w:p>
      <w:r>
        <w:t>1.Â Â Â Â Â Â Â Â  In teilweiser Gutheissung der Beschwerde wird der Einspracheentscheid des Amtes fÃ¼r Zusatzleistungen zur AHV/IV der Stadt ZÃ¼rich vom 29. April 2009 aufgehoben und die Sache an die Beschwerdegegnerin zurÃ¼ckgewiesen, damit diese den Anspruch auf Zusatzleistungen des BeschwerdefÃ¼hrers fÃ¼r die Zeit von Februar 2008 bis April 2009 im Sinne der ErwÃ¤gungen neu berechne, die RÃ¼ckerstattungsansprÃ¼che dementsprechend neu festlege und hernach darÃ¼ber neu verfÃ¼ge.</w:t>
      </w:r>
    </w:p>
    <w:p>
      <w:r>
        <w:t>2.Â Â Â Â Â Â Â Â  Das Verfahren ist kostenlos.</w:t>
      </w:r>
    </w:p>
    <w:p>
      <w:r>
        <w:t>3.Â Â Â Â Â Â Â Â  Zustellung gegen Empfangsschein an:</w:t>
      </w:r>
    </w:p>
    <w:p>
      <w:r>
        <w:t>- X.___</w:t>
      </w:r>
    </w:p>
    <w:p>
      <w:r>
        <w:t>- Stadt ZÃ¼rich,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