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ZL.2009.00040 vom 20. Dezember 2010</w:t>
      </w:r>
    </w:p>
    <w:p>
      <w:r>
        <w:t>ZH Sozialversicherungsgericht, 2010-12-20, DE</w:t>
      </w:r>
    </w:p>
    <w:p>
      <w:r>
        <w:rPr>
          <w:b/>
        </w:rPr>
        <w:t xml:space="preserve">Quelle: </w:t>
      </w:r>
      <w:r>
        <w:t>https://mcp.opencaselaw.ch/entscheid/zh_sozialversicherungsgericht_ZL.2009.00040</w:t>
      </w:r>
    </w:p>
    <w:p>
      <w:r>
        <w:t>FR: ZH_SOZIALVERSICHERUNGSGERICHT ZL.2009.00040 du 20 décembre 2010</w:t>
      </w:r>
    </w:p>
    <w:p>
      <w:r>
        <w:t>IT: ZH_SOZIALVERSICHERUNGSGERICHT ZL.2009.00040 del 20 dicembre 2010</w:t>
      </w:r>
    </w:p>
    <w:p>
      <w:pPr>
        <w:pStyle w:val="Heading2"/>
      </w:pPr>
      <w:r>
        <w:t>Erwägungen</w:t>
      </w:r>
    </w:p>
    <w:p>
      <w:r>
        <w:rPr>
          <w:b/>
        </w:rPr>
        <w:t>E. 3</w:t>
      </w:r>
    </w:p>
    <w:p>
      <w:r>
        <w:t>3.1Â Â Â Â  Fest steht, dass A.___ - ein Bekannter der Versicherten - am 10. Dezember 2008 in die Schweiz eingereist ist und sich in Y.___ angemeldet hat (Urk. 9/84). Seit dem 5. Januar 2009 wohnt er bei der BeschwerdefÃ¼hrerin (Urk. 1 S. 2 und 7/86 S. 2). Aktenkundig ist des Weiteren, dass der neue Mitbewohner - von Beruf Raumpfleger - bei der Firma B.___ AG (Urk. 9/84) und damit beim gleichen Arbeitgeber wie die BeschwerdefÃ¼hrerin arbeitet (Beilage zu Urk. 9/80).</w:t>
      </w:r>
    </w:p>
    <w:p>
      <w:r>
        <w:t>Â Â Â Â Â Â Â Â  A.___ wird als Mitbewohner der BeschwerdefÃ¼hrerin nicht in deren EL- Berechnung miteinbezogen. GrundsÃ¤tzlich ist der Mietzins daher nach Anzahl der Bewohner der von der BeschwerdefÃ¼hrerin gemieteten Wohnung aufzuteilen. Von dieser Grundregel kann nur dann ausnahmsweise abgewichen werden, wenn die Aufteilung nach KÃ¶pfen im Einzelfall zu einem stossenden Ergebnis fÃ¼hrt, beispielsweise weil eine Person den grÃ¶ssten Teil der Wohnung fÃ¼r sich in Anspruch nimmt.</w:t>
      </w:r>
    </w:p>
    <w:p>
      <w:r>
        <w:t>Â Â Â Â Â Â Â Â  Aufgrund der Regelung in Art. 16 ELV gibt bereits das gemeinsame Wohnen Anlass fÃ¼r eine Mietzinsaufteilung, ohne dass dabei erforderlich ist, dass das MietverhÃ¤ltnis entgeltlich ist oder die versicherte Person durch das Zusammenwohnen grÃ¶ssere Mietausgaben auf sich nimmt, als sie bei alleinigem Wohnen hÃ¤tte tÃ¤tigen mÃ¼ssen (BGE 127 V 16 Erw. 6a und 6b). Die BeschwerdefÃ¼hrerin kann daher aus der Tatsache, dass sie von A.___ keinen Mietzins verlangt hat und ihr deshalb seit dem gemeinsamen WohnverhÃ¤ltnis immer noch die gleich hohen Mietkosten entstanden sind, nichts zu ihren Gunsten ableiten. Wenn die BeschwerdefÃ¼hrerin dahingehend argumentiert, solange A.___ keine Arbeit habe, kÃ¶nne er nichts bezahlen (Urk. 1 S. 2 und 9/86 S. 2), geht sie selber davon aus, dass dieser nicht dauernd unentgeltlich bei ihr wohnen kann. Wenn sie den Mitbewohner unentgeltlich bei sich wohnen lÃ¤sst, kann dies aufgrund der geltenden Rechtslage jedoch nicht zulasten der Zusatzleistungen gehen.</w:t>
      </w:r>
    </w:p>
    <w:p>
      <w:r>
        <w:t>Â Â Â Â Â Â Â Â  Nicht relevant ist, ob der Bekannte der BeschwerdefÃ¼hrerin eine Stelle gefunden hat oder nicht, denn kÃ¶nnte er nicht bei der BeschwerdefÃ¼hrerin wohnen, mÃ¼sste er sich ein Logis suchen, fÃ¼r welches er zweifellos auch etwas zu bezahlen hÃ¤tte. Sodann ist darauf hinzuweisen, dass es fÃ¼r die Aufteilung des Mietzinses nicht erforderlich ist, dass die Wohnung gemeinsam gemietet wird oder das (Unter-)MietverhÃ¤ltnis entgeltlich ist (vgl. auch Rz 3023 der Wegleitung Ã¼ber die ErgÃ¤nzungsleistungen zur AHV und IV [WEL] in der ab 1. Januar 2002 gÃ¼ltigen Fassung).</w:t>
      </w:r>
    </w:p>
    <w:p>
      <w:r>
        <w:t>Â Â Â Â Â Â Â Â  Die von der DurchfÃ¼hrungsstelle vorgenommene Aufteilung des Mietzinses von Fr. 1'697.-- auf die BeschwerdefÃ¼hrerin und A.___ ist damit grundsÃ¤tzlich rechtens.</w:t>
      </w:r>
    </w:p>
    <w:p>
      <w:r>
        <w:t>3.2Â Â Â Â  Die 3Â½-Zimmerwohnung wird demnach von zwei erwachsenen Personen bewohnt. Es liegen weder Anhaltspunkte vor, noch werden solche behauptet, dass sich der Mitbewohner A.___ nur sporadisch in der Wohnung aufhalten wÃ¼rde oder nicht auch Wohnzimmer, KÃ¼che und Bad (mit)benÃ¼tzen dÃ¼rfte, was zweifellos nicht ohne Weiteres zu einer hÃ¤lftigen Aufteilung der Mietkosten fÃ¼hren wÃ¼rde. Wenn die Beschwerdegegnerin der BeschwerdefÃ¼hrerin nur noch die HÃ¤lfte der Mietkosten, mithin Fr. 849.-- (Fr. 1'697 : 2) anrechnet, so ist das nicht zu beanstanden. Im Ãbrigen geht selbst die BeschwerdefÃ¼hrerin von einer hÃ¤lftigen Anrechnung des Mietzinses aus (Urk. 1 S. 3 und 9/86 S. 2).</w:t>
      </w:r>
    </w:p>
    <w:p>
      <w:r>
        <w:t>Â Â Â Â Â Â Â Â  Zusammenfassend ergibt sich, dass die von der Beschwerdegegnerin bei der Berechnung der Zusatzleistungen vorgenommene hÃ¤lftige Anrechnung der monatlichen Mietkosten zu bestÃ¤tigen ist.</w:t>
      </w:r>
    </w:p>
    <w:p>
      <w:r>
        <w:t>Â Â Â Â Â Â Â Â  Im Ãbrigen ist der VollstÃ¤ndigkeit halber darauf hinzuweisen, dass die BeschwerdefÃ¼hrerin die RÃ¼ckerstattung der infolge der Mietanrechnung zuviel bezogenen Zusatzleistungen im Betrag von Fr. 1'116.-- nicht bestritten und einzig ein Erlassgesuch gestellt hat (Urk. 9/85), welches die Beschwerdegegnerin mit VerfÃ¼gung vom 2. April 2009 gutgeheissen hat (Urk. 9/87).</w:t>
      </w:r>
    </w:p>
    <w:p>
      <w:r>
        <w:t>4.Â Â Â Â Â Â</w:t>
      </w:r>
    </w:p>
    <w:p>
      <w:r>
        <w:t>4.1Â Â Â Â Â Â Â Â  GemeindezuschÃ¼sse werden der BeschwerdefÃ¼hrerin weiterhin ausgerichtet; die Beschwerdegegnerin verneint indes ab dem 1. Januar 2009 einen Anspruch auf einen Mietzinszuschuss, welcher bis anhin Fr. 100.-. im Monat betragen hat (Urk. 9/73 S. 2).</w:t>
      </w:r>
    </w:p>
    <w:p>
      <w:r>
        <w:t>Â Â Â Â Â Â Â Â  GestÃ¼tzt auf Art. 1 Abs. 2 der Verordnung Ã¼ber die Ausrichtung von Gemeindeleistungen zur Alters-, Hinterlassenen- und Invalidenbeihilfe vom 1. Februar 2006, in Kraft seit dem 1. April 2006 (Urk. 13), werden GemeindezuschÃ¼sse, Mietzinszulagen und PflegekostenzuschÃ¼sse ausgerichtet. Gegen Entscheide betreffend Gemeindeleistungen kann innert 30 Tagen bei der verfÃ¼genden Stelle schriftlich oder anlÃ¤sslich einer persÃ¶nlichen Vorsprache mÃ¼ndlich Einsprache erhoben werden. Gegen deren Entscheid kann innerhalb der gleichen Frist an den Stadtrat rekurriert werden (Art. 3 der Verordnung).</w:t>
      </w:r>
    </w:p>
    <w:p>
      <w:r>
        <w:t>4.2Â Â Â Â  Das Sozialversicherungsgericht ist demnach zur Beurteilung der Gemeindeleistungen und damit auch betreffend die Mietzinszulage nicht zustÃ¤ndig, weshalb in diesem Punkt auf die Beschwerde nicht einzutreten ist. Die Sache ist daher zur PrÃ¼fung des Anspruchs auf Mietzinszulagen ab dem 1. Januar 2009 an den Stadtrat Y.___ zu Ã¼berweisen.</w:t>
      </w:r>
    </w:p>
    <w:p>
      <w:r>
        <w:t>Das Gericht erkennt:</w:t>
      </w:r>
    </w:p>
    <w:p>
      <w:r>
        <w:t>1.Â Â Â Â Â Â Â Â  Die Beschwerde wird abgewiesen, soweit darauf eingetreten wird.</w:t>
      </w:r>
    </w:p>
    <w:p>
      <w:r>
        <w:t>2.Â Â Â Â Â Â Â Â  Die Sache wird nach Eintritt der Rechtskraft dieses Entscheids im Sinne der ErwÃ¤gung 4 an den Stadtrat Y.___ Ã¼berwiesen.</w:t>
      </w:r>
    </w:p>
    <w:p>
      <w:r>
        <w:t>3.Â Â Â Â Â Â Â Â  Das Verfahren ist kostenlos.</w:t>
      </w:r>
    </w:p>
    <w:p>
      <w:r>
        <w:t>4.Â Â Â Â Â Â Â Â Â Â  Zustellung gegen Empfangsschein an:</w:t>
      </w:r>
    </w:p>
    <w:p>
      <w:r>
        <w:t>- AXA-ARAG Rechtsschutz AG</w:t>
      </w:r>
    </w:p>
    <w:p>
      <w:r>
        <w:t>- Stadt Y.___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