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ZL.2009.00019 vom 30. November 2010</w:t>
      </w:r>
    </w:p>
    <w:p>
      <w:r>
        <w:t>ZH Sozialversicherungsgericht, 2010-11-30, DE</w:t>
      </w:r>
    </w:p>
    <w:p>
      <w:r>
        <w:rPr>
          <w:b/>
        </w:rPr>
        <w:t xml:space="preserve">Quelle: </w:t>
      </w:r>
      <w:r>
        <w:t>https://mcp.opencaselaw.ch/entscheid/zh_sozialversicherungsgericht_ZL.2009.00019</w:t>
      </w:r>
    </w:p>
    <w:p>
      <w:r>
        <w:t>FR: ZH_SOZIALVERSICHERUNGSGERICHT ZL.2009.00019 du 30 novembre 2010</w:t>
      </w:r>
    </w:p>
    <w:p>
      <w:r>
        <w:t>IT: ZH_SOZIALVERSICHERUNGSGERICHT ZL.2009.00019 del 30 novembre 2010</w:t>
      </w:r>
    </w:p>
    <w:p>
      <w:pPr>
        <w:pStyle w:val="Heading2"/>
      </w:pPr>
      <w:r>
        <w:t>Erwägungen</w:t>
      </w:r>
    </w:p>
    <w:p>
      <w:r>
        <w:rPr>
          <w:b/>
        </w:rPr>
        <w:t>E. 1</w:t>
      </w:r>
    </w:p>
    <w:p>
      <w:r>
        <w:t>1.1Â Â Â Â  Nach Art. 25 Abs. 1 Satz 1 des Bundesgesetzes Ã¼ber den Allgemeinen Teil des Sozialversicherungsrechts (ATSG) sind unrechtmÃ¤ssig bezogene Leistungen zurÃ¼ckzuerstatten. Der RÃ¼ckforderungsanspruch erlischt mit dem Ablauf eines Jahres, nachdem die Versicherungseinrichtung davon Kenntnis erhalten hat, spÃ¤testens aber mit dem Ablauf von fÃ¼nf Jahren nach der Entrichtung der einzelnen Leistung (Art. 25 Abs. 2 Satz 1 ATSG). Wird der RÃ¼ckerstattungsanspruch aus einer strafbaren Handlung hergeleitet, fÃ¼r welche das Strafrecht eine lÃ¤ngere VerjÃ¤hrungsfrist vorsieht, so ist diese Frist massgebend (Art. 25 Abs. 2 Satz 2 ATSG). FÃ¼r den Beginn der relativen einjÃ¤hrigen Verwirkungsfrist ist nicht das erstmalige unrichtige Handeln und die daran anknÃ¼pfende unrechtmÃ¤ssige Leistungsausrichtung massgebend. Abzustellen ist auf jenen Tag, an dem die Ausgleichskasse spÃ¤ter bei der ihr gebotenen und zumutbaren Aufmerksamkeit - "aufgrund eines zusÃ¤tzlichen Indizes" (SVR 2002 IV Nr. 2 S. 5 f. Erw. 3) - den Fehler hÃ¤tte erkennen mÃ¼ssen und dass die Voraussetzungen fÃ¼r eine RÃ¼ckerstattung bestehen. Dieser Grundsatz, wonach nicht der ursprÃ¼ngliche Irrtum, sondern erst ein "zweiter Anlass" die relative einjÃ¤hrige Verwirkungsfrist auslÃ¶st, wurde verschiedentlich bestÃ¤tigt (Urteile des Bundesgerichts in Sachen K. und A. vom 28. Mai 2010, 9C_1010/2009, Erw. 3.1 und in Sachen S. vom 15. Mai 2008, 8C_824/2007, Erw. 3.2.2).</w:t>
      </w:r>
    </w:p>
    <w:p>
      <w:r>
        <w:t>1.2Â Â Â Â Â Â Â Â  Unbestritten ist, dass die BeschwerdefÃ¼hrerin als BezÃ¼gerin einer ganzen Invalidenrente das auf ihr FreizÃ¼gigkeitskonto Ã¼berwiesene Guthaben von Fr. 72'132.95 (Stand 31. Dezember 1997, Urk. 3/20) sowie das Guthaben der SÃ¤ule 3a von Fr. 37'875.40 (Stand 31. Dezember 1997, Urk. 3/21) im massgebenden Zeitraum beziehen konnte (Art. 16 Abs. 2 der Verordnung Ã¼ber FreizÃ¼gigkeit in der beruflichen Alters-, Hinterlassenen- und Invalidenvorsorge [FZV]; Art. 3 Abs. 2 lit. a der Verordnung Ã¼ber die steuerliche Abzugsberechtigung fÃ¼r BeitrÃ¤ge an anerkannte Vorsorgeformen [BVV 3]; Schreiben der DurchfÃ¼hrungsstelle an die BeschwerdefÃ¼hrerin vom 29. Februar 2008, Urk. 7/431; Urk. 1 in Verbindung mit Urk. 2 und Urk. 3/3-16), dass es sich deshalb um VermÃ¶genswerte handelte, welche bei der Berechnung der ErgÃ¤nzungsleistungen zu berÃ¼cksichtigen waren und dass deshalb die Beschwerdegegnerin auf die ursprÃ¼nglichen VerfÃ¼gungen, bei welchen diese VermÃ¶genswerte zu Unrecht nicht berÃ¼cksichtigt worden waren, aufgrund eines RÃ¼ckkommenstitels (WiedererwÃ¤gung oder prozessuale Revision; Art. 53 ATSG; BGE 129 V 110 Erw. 1.1) zurÃ¼ckkommen und die fÃ¼r die Zeit vom 1. MÃ¤rz 2003 bis 31. Juli 2008 zu viel ausgerichteten ErgÃ¤nzungsleistungen im Betrag von Fr. 49'728.- nach Art. 25 Abs. 1 Satz 1 ATSG grundsÃ¤tzlich zurÃ¼ckfordern durfte.</w:t>
      </w:r>
    </w:p>
    <w:p>
      <w:r>
        <w:t>Â Â Â Â Â Â Â Â  Streitig ist einzig, ob die einjÃ¤hrige Verwirkungsfrist nach Art. 25 Abs. 2 ATSG gewahrt wurde.</w:t>
      </w:r>
    </w:p>
    <w:p>
      <w:r>
        <w:rPr>
          <w:b/>
        </w:rPr>
        <w:t>E. 2</w:t>
      </w:r>
    </w:p>
    <w:p>
      <w:r>
        <w:t>2.1Â Â Â Â  Die Beschwerdegegnerin macht im angefochtenen Entscheid (Urk. 2) im Wesentlichen geltend, entgegen der Auffassung der BeschwerdefÃ¼hrerin habe sie die fraglichen VermÃ¶genswerte auf dem FreizÃ¼gigkeitskonto und dem Konto der 3. SÃ¤ule nicht bereits bei der Gesuchstellung bemerken mÃ¼ssen. Denn der Untersuchungsgrundsatz werde durch die den Versicherten obliegenden Mitwirkungs- und Meldepflichten sowie durch den Grundsatz von Treu und Glauben eingeschrÃ¤nkt. Obwohl die beiden Konten eigens durch die Versicherte hÃ¤tten errichtet werden mÃ¼ssen - weshalb nicht von einer vollumfÃ¤nglichen Unkenntnis ausgegangen werden kÃ¶nne -, obwohl sie jÃ¤hrlich von der Vorsorgestiftung entsprechende KontoauszÃ¼ge mit Saldo- und Zinsausweisen erhalten habe und alle zwei Jahre erneut im Rahmen der periodischen ÃberprÃ¼fungen nach sÃ¤mtlichen VermÃ¶genswerten befragt worden sei, habe sie die Amtsstelle erst am 25. Februar 2008 erstmals Ã¼ber diese VermÃ¶genswerte informiert.</w:t>
      </w:r>
    </w:p>
    <w:p>
      <w:r>
        <w:t>2.2Â Â Â Â Â Â Â Â  Dagegen bringt die BeschwerdefÃ¼hrerin in ihrer Beschwerde vom 2. MÃ¤rz 2009 (Urk. 1) zusammengefasst vor, sie habe immer alle Fragen wahrheitsgetreu beantwortet. Insbesondere habe sie die beiden Formulare bei der Anmeldung sehr prÃ¤zis und vollstÃ¤ndig ausgefÃ¼llt. Dass in den Formularen nirgends nach FreizÃ¼gigkeitskonten oder Konten der SÃ¤ule 3a gefragt worden sei, habe sich die Beschwerdegegnerin entgegen halten zu lassen. Den Belegen im Zusammenhang mit ihrer ErwerbstÃ¤tigkeit - wie der Zusammenstellung der Individuellen Konten (Urk. 3/28), der Ãbersicht Ã¼ber ihre TÃ¤tigkeiten (Urk. 3/19, der Auskunft der SteuerbehÃ¶rden Ã¼ber ihr Einkommen und VermÃ¶gen (Urk. 3/27) - habe ohne Weiteres entnommen werden kÃ¶nnen, dass sie wÃ¤hrend der ErwerbstÃ¤tigkeit zwingend einer Vorsorgeeinrichtung angeschlossen und somit ein in der zweiten SÃ¤ule gebundenes Sparkapital vorhanden sein musste. Seit der Erstanmeldung seien somit alle Informationen bei der Beschwerdegegnerin vorhanden gewesen, um eine korrekte Festsetzung der ErgÃ¤nzungsleistungen vornehmen zu kÃ¶nnen. Da sie gegen die VerfÃ¼gung vom 3. November 1998, mit welcher ihr erstmals Zusatzleistungen zugesprochen worden seien, Einsprache beim Bezirksrat erhoben habe, habe die Beschwerdegegnerin mit ihrer Vernehmlassung vom 5. Januar 1999 das Dossier nochmals neu beurteilen und bei Anwendung der zumutbaren Aufmerksamkeit sich Ã¼ber ihren Fehler Rechenschaft geben mÃ¼ssen. Mit dieser Stellungnahme vom 5. Januar 1999 sei der zweite, die einjÃ¤hrige Verwirkungsfrist auslÃ¶sende Anlass im Sinne der Rechtsprechung eingetreten. Danach seien zwischen 1999 und 2007 insgesamt 14 Revisionen durch verschiedene Personen durchgefÃ¼hrt worden. Zumindest bei der ersten Revision im Jahr 1999 hÃ¤tte man bei Anwendung der zumutbaren Aufmerksamkeit das Dossier der ersten Anmeldung konsultieren und dort auf eine mit einem Ausrufezeichen versehene Position bezÃ¼glich der PensionskassenbeitrÃ¤ge aufmerksam werden mÃ¼ssen. Der zweite Anlass zur Korrektur des ursprÃ¼nglichen Fehlers sei somit spÃ¤testens am 22. April 1999 beim Abschluss der ersten Revision eingetreten. Die einjÃ¤hrige Verwirkungsfrist sei daher bei Erlass der RÃ¼ckerstattungsverfÃ¼gung schon lange abgelaufen gewesen.</w:t>
      </w:r>
    </w:p>
    <w:p>
      <w:r>
        <w:rPr>
          <w:b/>
        </w:rPr>
        <w:t>E. 3</w:t>
      </w:r>
    </w:p>
    <w:p>
      <w:r>
        <w:t>3.1Â Â Â Â  Bei den beiden Anmeldeformularen sind hinsichtlich des nachzuweisenden VermÃ¶gens verschiedene (anzukreuzende) VermÃ¶gensarten und einzureichende Belege aufgefÃ¼hrt, wie insbesondere die Saldoausweise aller Bankkonten (Urk. 7/17) respektive die AuszÃ¼ge von jeder Bank, bei der ein Konto besteht (Urk. 7/16). Dabei wird der Begriff "VermÃ¶gen" in diesen Formularen in einem weiten, uneingeschrÃ¤nkten Sinne gebraucht, was sich auch darin zeigt, dass am Ende der Rubrik zum VermÃ¶gen eine generelle Auffangklausel mit der Frage nach dem Vorhandensein von anderen VermÃ¶genswerten aufgefÃ¼hrt ist (Urk. 7/17). Dieser Aufbau der Formulare und die dabei verwendeten Formulierungen machen somit nach Treu und Glauben genÃ¼gend klar, dass alle Ausweise mit VermÃ¶genswerten auf Konten anzugeben waren, insbesondere auch solche, welche mit einer Bank in Verbindung gebracht werden konnten. Das Vorgehen der BeschwerdefÃ¼hrerin, dies hinsichtlich der FreizÃ¼gigkeits- und SÃ¤ule 3a-Guthaben dennoch zu unterlassen, war daher nicht richtig, umso mehr als diese Guthaben in Saldoausweisen der Vorsorge- und FreizÃ¼gigkeitsstiftungen der Z.___Bank ausgewiesen waren (Urk. 3/20-21; vgl. dazu auch die Homepage der Z.___Bank, unter der Rubrik Privatkunden/Konten &amp; Zahlungen/Konten zum Vorsorgen/FreizÃ¼gigkeitskonto, Urk. 9/1-2). Zumindest hÃ¤tte die BeschwerdefÃ¼hrerin damals eine entsprechende Anmerkung machen mÃ¼ssen - und zwar spÃ¤testens bei der Auffangklausel mit der Frage nach dem Vorhandensein von anderen VermÃ¶genswerten -, statt jeweils bloss ausdrÃ¼cklich die Bemerkung anzufÃ¼gen, dass sie "nur" ein SalÃ¤rkonto habe (Urk. 7/16-17). Bei der nachfolgenden VerfÃ¼gung vom 3. November 1998 bestÃ¤tigte sie am 12. November 1998 unterschriftlich deren VollstÃ¤ndigkeit, trotz Hinweisen auf die Wahrheitspflicht und entsprechende Strafbestimmungen und obwohl die vermÃ¶genswerten FreizÃ¼gigkeits- und SÃ¤ule 3a-Guthaben beim ReinvermÃ¶gen von Fr. 4'152.- offensichtlich nicht berÃ¼cksichtigt waren (Urk. 7/29-34). Somit machte die BeschwerdefÃ¼hrerin bei der Anmeldung und der in diesem Zusammenhang ergangenen VerfÃ¼gung mehrfach unvollstÃ¤ndige respektive unrichtige Angaben zu ihrem VermÃ¶gen. Welche BeweggrÃ¼nde diesem Vorgehen zugrundelagen, kann indes offen bleiben.</w:t>
      </w:r>
    </w:p>
    <w:p>
      <w:r>
        <w:t>Â Â Â Â Â Â Â Â  Da diese Antworten der BeschwerdefÃ¼hrerin zwar unvollstÃ¤ndig jedoch nicht offenkundig falsch waren, brauchte die Beschwerdegegnerin damals entgegen der Auffassung der BeschwerdefÃ¼hrerin keine weiteren Nachforschungen Ã¼ber allfÃ¤llig nicht deklariertes VermÃ¶gen anzustellen, insbesondere auch nicht im Sinne einer kombinatorischen Analyse der Belege ihrer Erwerbsbiographie (vgl. zu diesen Belegen auch: Auszug aus dem Individuellen Konto, Urk. 7/62-65; Ãbersicht Ã¼ber die TÃ¤tigkeiten der BeschwerdefÃ¼hrerin, Urk. 7/18; Auskunft der SteuerbehÃ¶rde Ã¼ber das Einkommen und VermÃ¶gen vom 2. Oktober 1998, Urk. 7/12). Denn es wird, wie die Beschwerdegegnerin zutreffend erwÃ¤hnt, die Untersuchungspflicht der Verwaltung durch eine entsprechende Mitwirkungspflicht der versicherten Person und gegebenenfalls auch durch den Grundsatz von Treu und Glauben eingeschrÃ¤nkt. Dies gilt insbesondere in einem Fall wie dem vorliegenden, bei welchem sich die Angaben auf Formularen oder unterschriftliche BestÃ¤tigungen im Nachhinein als unzutreffend erweisen. Zudem musste die Verwaltung damals selbst unter BerÃ¼cksichtigung der erwÃ¤hnten Belege nicht zwingend von der Annahme von vermÃ¶genswerten Guthaben auf FreizÃ¼gigkeits- und SÃ¤ule 3a-Konten ausgehen (nach Art. 16 Abs. 2 FZV und Art. 3 Abs. 2 lit. a BVV 3). Dies gilt umso mehr, als im damaligen Zeitraum der Anmeldung gegen Ende des Jahres 1998 nicht vÃ¶llig ausgeschlossen werden konnte, dass ein allfÃ¤lliges FreizÃ¼gigkeitsguthaben noch nicht auf eine entsprechendes Konto Ã¼berwiesen worden war. Mit dem im Anmeldeformular (Urk. 7/16) angebrachten Fragezeichen (und nicht einem Ausrufezeichen, wie die BeschwerdefÃ¼hrerin angibt; Urk. 1) zu dem im Formular angefÃ¼hrten Beleg "Pensionskassen-Auszahlungsbescheinigung" brachte die Verwaltung lediglich zum Ausdruck, dass sie nicht wusste, ob ein solcher Beleg vorhanden war oder nicht. Mehr kann daraus nicht abgeleitet werden. Der im weiteren Anmeldeformular (Urk. 7/17) im Feld vor der Frage nach dem allfÃ¤lligen Erhalt einer einmaligen Pensionskassen-Kapitalzahlung - bei deren Beantwortung die BeschwerdefÃ¼hrerin nach eigenen Angaben unsicher gewesen sei (Urk. 1 S. 10) - angedeutete, bloss schattenhaft wirkende Strichansatz ist im Vergleich zu den Ã¼brigen in diesem Formular von der BeschwerdefÃ¼hrerin angebrachten Kreuzen und Anmerkungen zu wenig deutlich erkennbar, um von der Verwaltung als Bejahungsversuch der Frage interpretiert werden zu mÃ¼ssen. Auch dieser Umstand gab somit keinen Anlass dazu, hinsichtlich allfÃ¤llig vorhandener FreizÃ¼gigkeitsguthaben weitere Nachforschungen zu treffen. Somit ist bei der Anmeldung und der nachfolgenden LeistungsverfÃ¼gung noch keine erstmalige unrichtige Handlung der Verwaltung im Sinne der Rechtsprechung (Erw. 1.1) erkennbar. Selbst wenn man der gegenteiligen Auffassung der BeschwerdefÃ¼hrerin folgen wÃ¼rde, wÃ¤re gemÃ¤ss den nachfolgenden ErwÃ¤gungen die einjÃ¤hrige Verwirkungsfrist mit der RÃ¼ckerstattungsverfÃ¼gung gewahrt worden.</w:t>
      </w:r>
    </w:p>
    <w:p>
      <w:r>
        <w:t>3.2Â Â Â Â  Auch im nachfolgenden Zeitraum bis 2007 gab die BeschwerdefÃ¼hrerin wiederholt zu verschiedenen VerfÃ¼gungen die unterschriftliche BestÃ¤tigung hinsichtlich der VollstÃ¤ndigkeit von deren Berechnungsgrundlagen ab, obwohl dies in Bezug auf das VermÃ¶gen nach ErwÃ¤gung 3.1 nicht zutraf (BestÃ¤tigungen der BeschwerdefÃ¼hrerin vom 12. September 2000, vom 7. Juni 2002, vom 12. Mai 2004, vom 10. MÃ¤rz 2006 und vom 24. April 2007 zu den Berechnungsgrundlagen der RevisionsverfÃ¼gungen Nrn. 5, 8, 10, 13 und 14; Urk. 7/155-157, Urk. 7/199-201, Urk. 7/233-238, Urk. 7/268-273, Urk. 6/286-291). Bei den periodischen ÃberprÃ¼fungen in den Jahren 2000, 2004 und 2006 legte sie im Zusammenhang mit dem VermÃ¶gensnachweis die Saldoausweise zu den FreizÃ¼gigkeits- und SÃ¤ule 3a-Konten wie schon bei ihrer Anmeldung nicht bei (Urk. 7/153-154, Urk. 7/215, Urk. 7/267). Deshalb, sowie unter BerÃ¼cksichtigung der Ã¼brigen Akten gab es in diesem Zeitraum fÃ¼r die Verwaltung keinen zweiten Anlass respektive kein zusÃ¤tzliches Indiz im Sinne der Rechtsprechung (Erw. 1.1), aufgrund dessen sie bei Anwendung der zumutbaren Aufmerksamkeit die UnvollstÃ¤ndigkeit der VermÃ¶gensberechnung hÃ¤tte bemerken mÃ¼ssen. Dies gilt auch hinsichtlich des von der BeschwerdefÃ¼hrerin erwÃ¤hnten Einspracheverfahrens vor dem Bezirksrat, bei welchem es lediglich um bestimmte Fixkosten im Zusammenhang mit den anrechenbaren Aufwendungen und um bestimmte Kosten von medizinischen Behandlungen ging (Einsprache der BeschwerdefÃ¼hrerin vom 27. November und 11. Dezember 1998, Urk. 7/74-78; Vernehmlassung der Beschwerdegegnerin vom 5. Januar 1999, Urk. 7/85; Beschluss des Bezirksrates M.___ vom 16. Februar 1999, Urk. 7/89). Das Gleiche gilt auch fÃ¼r die von der BeschwerdefÃ¼hrerin erwÃ¤hnte erste RevisionsverfÃ¼gung vom 22. April 1999 (Urk. 7/42-44).</w:t>
      </w:r>
    </w:p>
    <w:p>
      <w:r>
        <w:t>3.3Â Â Â Â Â Â Â Â  Nachdem die BeschwerdefÃ¼hrerin die Verwaltung erstmals am 25. Februar 2008 auf die FreizÃ¼gigkeits- und SÃ¤ule 3a-Guthaben hingewiesen hat, wurde die einjÃ¤hrige Verwirkungsfrist (Art. 25 Abs. 2 ATSG) nach dem Gesagten mit der VerfÃ¼gung vom 1. Juli 2008 (Urk. 3/16) gewahrt. Dies wÃ¼rde selbst dann gelten, wenn der Verwaltung bei der Anmeldung und der nachfolgenden VerfÃ¼gung vom 3. November 1998 (Urk. 7/34) hinsichtlich der FreizÃ¼gigkeits- und SÃ¤ule 3a-Guthaben eine erstmalige unrichtige Handlung im Sinne der Rechtsprechung (Erw. 1.1) unterlaufen wÃ¤re. Im Ãbrigen blieb der angefochtene Entscheid unbestritten und es liegen auch keine konkreten Anhaltspunkte fÃ¼r Berechnungsfehler vor.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Dr. Karin Goy</w:t>
      </w:r>
    </w:p>
    <w:p>
      <w:r>
        <w:t>- Stadt Y.___ Amt fÃ¼r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