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ZL.2008.00100 vom 30. Juni 2010</w:t>
      </w:r>
    </w:p>
    <w:p>
      <w:r>
        <w:t>ZH Sozialversicherungsgericht, 2010-06-30, DE</w:t>
      </w:r>
    </w:p>
    <w:p>
      <w:r>
        <w:rPr>
          <w:b/>
        </w:rPr>
        <w:t xml:space="preserve">Quelle: </w:t>
      </w:r>
      <w:r>
        <w:t>https://mcp.opencaselaw.ch/entscheid/zh_sozialversicherungsgericht_ZL.2008.00100</w:t>
      </w:r>
    </w:p>
    <w:p>
      <w:r>
        <w:t>FR: ZH_SOZIALVERSICHERUNGSGERICHT ZL.2008.00100 du 30 juin 2010</w:t>
      </w:r>
    </w:p>
    <w:p>
      <w:r>
        <w:t>IT: ZH_SOZIALVERSICHERUNGSGERICHT ZL.2008.00100 del 30 giugno 2010</w:t>
      </w:r>
    </w:p>
    <w:p>
      <w:pPr>
        <w:pStyle w:val="Heading2"/>
      </w:pPr>
      <w:r>
        <w:t>Erwägungen</w:t>
      </w:r>
    </w:p>
    <w:p>
      <w:r>
        <w:rPr>
          <w:b/>
        </w:rPr>
        <w:t>E. 2</w:t>
      </w:r>
    </w:p>
    <w:p>
      <w:r>
        <w:t>gemietet worden ist, steht im Zusammenhang mit der Absicht, dass die BeschwerdefÃ¼hrerin ein Fotostudio errichten wollte. Der dadurch hÃ¶here Mietzins stellt daher im Zusammenhang mit der erwerblichen TÃ¤tigkeit entstandener Aufwand dar, der in der Betriebsrechnung des GeschÃ¤fts erfasst wird und daher bei der Berechnung der Zusatzleistungen auszuklammern ist. In diesem Sinne hat auch das damalige EidgenÃ¶ssische Versicherungsgericht die Frage bei einer Garage, in welcher fÃ¼r die AbwartstÃ¤tigkeit benÃ¶tigtes Werkzeug gelagert wurde, zwar offen gelassen, jedoch darauf hingewiesen, dass die Mietkosten fÃ¼r diesen Raum als Aufwendungen zu betrachten waren, die unmittelbar zur Einkommenserzielung dienen und deshalb als Gewinnungskosten nach Art. 3b Abs. 3 lit. a aELG (in der bis 31. Dezember 2007 gÃ¼ltig gewesenen Fassung) anzuerkennen waren (Urteil in Sachen H. vom 29. Juni 2001; P 15/01).</w:t>
      </w:r>
    </w:p>
    <w:p>
      <w:r>
        <w:t>Â Â Â Â Â Â Â Â  Damit erweist sich die vorgenommene Aufteilung des Mietzinses als korrekt.</w:t>
      </w:r>
    </w:p>
    <w:p>
      <w:r>
        <w:t>3.3Â Â Â Â</w:t>
      </w:r>
    </w:p>
    <w:p>
      <w:r>
        <w:t>3.3.1Â Â  Da die BeschwerdefÃ¼hrerin mit ihrem Partner zusammenlebt, rechnete die Beschwerdegegnerin ihr einen Beitrag in der HÃ¶he von Fr. 400.-- als Entgelt fÃ¼r die HaushaltsfÃ¼hrung an (Urk. 7/14 S. 3). ZusÃ¤tzlich ging sie von einem als Verkehrslotsin erzielbaren Verdienst von Fr. 200.-- aus, so dass ein Einkommen von Fr. 600.-- im Monat oder 7'200.-- im Jahr resultierte. Von dieser Summe brachte die Beschwerdegegnerin den Betrag von Fr. 1'000.-- in Abzug und setzte das anrechenbare Einkommen der BeschwerdefÃ¼hrerin unter BerÃ¼cksichtigung von 2/3 des Restbetrages (Fr. 6'200.--) auf Fr. 4'133.-- im Jahr fest (Urk. 7/14 S. 3 f.).</w:t>
      </w:r>
    </w:p>
    <w:p>
      <w:r>
        <w:t>3.3.2Â Â  Wenn die BeschwerdefÃ¼hrerin damit argumentiert, die Beschwerdegegnerin habe bis und mit der RevisionsverfÃ¼gung Nr. 6 Ã¼berhaupt auf die Anrechnung eines Haushaltsbeitrages seitens ihres Partners verzichtet und sei dann in der RevisionsverfÃ¼gung Nr. 7 vom 26. November 2007 (Urk. 7/9) von einem jÃ¤hrlichen Betrag von Fr. 2'533.-- oder umgerechnet Fr. 211.-- im Monat ausgegangen (Urk. 1 S. 3), so ist ihr beizupflichten, dass die Beschwerdegegnerin erstmals mit Wirkung ab der AnspruchsprÃ¼fung per 1. Mai 2006 einen Haushaltsbeitrag zur Anrechnung gebracht hat. Die BeschwerdefÃ¼hrerin Ã¼bersieht indes, dass die Beschwerdegegnerin den angenommenen Ansatz nicht willkÃ¼rlich erhÃ¶ht hat, sondern vielmehr immer noch von Fr. 400.-- im Monat ausgeht, jedoch ab FrÃ¼hling 2008 zusÃ¤tzlich die Einnahmen aus dem Lotsendienst zu addieren sind.</w:t>
      </w:r>
    </w:p>
    <w:p>
      <w:r>
        <w:t>3.3.3Â Â  Der Anrechnung einer EntschÃ¤digung fÃ¼r die HaushaltsfÃ¼hrung entgegnet die BeschwerdefÃ¼hrerin indes zur Hauptsache (Urk. 1 S. 3), sie und ihr Partner wÃ¼rden die HaushaltsfÃ¼hrung unter sich aufteilen; der Partner erbringe sogar den grÃ¶sseren Anteil, da ihr Anteil krankheitsbedingt geringer sei (Urk. 7/16a S. 2). Daher sei es nicht angebracht, dass er ihr hierfÃ¼r noch ein Entgelt entrichten mÃ¼sse.</w:t>
      </w:r>
    </w:p>
    <w:p>
      <w:r>
        <w:t>Â Â Â Â Â Â Â Â  Aufgrund der Aktenlage ist nicht erwiesen und nicht abgeklÃ¤rt, ob das Paar den Haushalt gemeinsam besorgt und ob allenfalls der Partner der BeschwerdefÃ¼hrerin sogar den grÃ¶sseren Anteil der HaushaltsfÃ¼hrung Ã¼bernommen hat. Insbesondere ist nach der Aktenlage nicht erstellt, ob die BeschwerdefÃ¼hrerin aufgrund ihrer gesundheitlichen Situation Ã¼berhaupt in der Lage ist, Haushaltsarbeiten zu verrichten. Hierzu ist auch auf den handschriftlichen Vermerk der Beschwerdegegnerin auf einem post-it auf Urk. 7/12b hinzuweisen, wonach die Beschwerdegegnerin ursprÃ¼nglich beabsichtigt hat, die Akten der Invalidenversicherung beizuziehen, um zu prÃ¼fen, ob der Versicherten die HaushaltsfÃ¼hrung Ã¼berhaupt und in welchem Ausmass mÃ¶glich ist. Schliesslich verzichtete die Beschwerdegegnerin auf weitere AbklÃ¤rungen, stÃ¼tzte sich auf die Angaben in ihren Akten, wonach die Versicherte im Fragebogen fÃ¼r die Rentenrevision zuhanden der Invalidenversicherung einen gleichgebliebenen Gesundheitszustand bestÃ¤tigt hatte (Urk. 7/18b Ziff. 1.1) und folgerte daraus, dass die BeschwerdefÃ¼hrerin zur HaushaltsfÃ¼hrung in der Lage sei und den gesamten Haushalt auch besorge. In diesem Punkt erweist sich die Sache als nicht spruchreif.</w:t>
      </w:r>
    </w:p>
    <w:p>
      <w:r>
        <w:t>3.4Â Â Â Â  Zusammenfassend ist die Sache unter Aufhebung des Einspracheentscheides vom 23. September 2008 an die Beschwerdegegnerin zurÃ¼ckzuweisen. Sie wird einerseits in tatsÃ¤chlicher Hinsicht zu klÃ¤ren haben, ob und wie die HaushaltsfÃ¼hrung aufgeteilt wird und andererseits unter Beizug der Akten der Invalidenversicherung in medizinischer Hinsicht abzuklÃ¤ren haben, ob und allenfalls bei welchen Haushaltsarbeiten die Versicherte aufgrund ihres Gesundheitszustandes, welcher immerhin einen InvaliditÃ¤tsgrad von 100 % zur Folge hat, eingeschrÃ¤nkt ist.</w:t>
      </w:r>
    </w:p>
    <w:p>
      <w:r>
        <w:t>Â Â Â Â Â Â Â Â  Die Beschwerdegegnerin wird denn auch die zeitliche Beanspruchung des Partners der Versicherten in seinem Beruf und seine finanzielle LeistungsfÃ¤higkeit zu prÃ¼fen haben, denn ein Entgelt fÃ¼r eine allfÃ¤llige Leistung im Haushalt kann nur bei gegebener wirtschaftlicher LeistungsfÃ¤higkeit verlangt werden (BGE 127 V 245 f. Erw. 2b; ZAK 1974 S. 554 und Rz 2077 WEL).</w:t>
      </w:r>
    </w:p>
    <w:p>
      <w:r>
        <w:t>Â Â Â Â Â Â Â Â  Nach dem Gesagten ist die Beschwerde, soweit darauf einzutreten ist, in dem Sinne gutzuheissen, dass der angefochtene Einspracheentscheid aufzuheben und die Sache an die Beschwerdegegnerin zurÃ¼ckzuweisen ist, damit sie nach ergÃ¤nzenden AbklÃ¤rungen den Anspruch auf Zusatzleistungen erneut prÃ¼fe und darÃ¼ber entscheide.</w:t>
      </w:r>
    </w:p>
    <w:p>
      <w:r>
        <w:t>Das Gericht erkennt:</w:t>
      </w:r>
    </w:p>
    <w:p>
      <w:r>
        <w:t>1.Â Â Â Â Â Â Â Â  Die Beschwerde wird, soweit darauf eingetreten wird, in dem Sinne gutgeheissen, dass der angefochtene Einspracheentscheid vom 23. September 2008 aufgehoben und die Sache an die Gemeinde Y.___,Â  zurÃ¼ckgewiesen wird, damit diese, nach erfolgter AbklÃ¤rung im Sinne der ErwÃ¤gungen, neu verfÃ¼ge.</w:t>
      </w:r>
    </w:p>
    <w:p>
      <w:r>
        <w:t>2.Â Â Â Â Â Â Â Â  Das Verfahren ist kostenlos.</w:t>
      </w:r>
    </w:p>
    <w:p>
      <w:r>
        <w:t>3.Â Â Â Â Â Â Â Â  Zustellung gegen Empfangsschein an:</w:t>
      </w:r>
    </w:p>
    <w:p>
      <w:r>
        <w:t>- X.___</w:t>
      </w:r>
    </w:p>
    <w:p>
      <w:r>
        <w:t>- Stadt Y.___</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