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ZL.2008.00033 vom 30. November 2009</w:t>
      </w:r>
    </w:p>
    <w:p>
      <w:r>
        <w:t>ZH Sozialversicherungsgericht, 2009-11-30, DE</w:t>
      </w:r>
    </w:p>
    <w:p>
      <w:r>
        <w:rPr>
          <w:b/>
        </w:rPr>
        <w:t xml:space="preserve">Quelle: </w:t>
      </w:r>
      <w:r>
        <w:t>https://mcp.opencaselaw.ch/entscheid/zh_sozialversicherungsgericht_ZL.2008.00033</w:t>
      </w:r>
    </w:p>
    <w:p>
      <w:r>
        <w:t>FR: ZH_SOZIALVERSICHERUNGSGERICHT ZL.2008.00033 du 30 novembre 2009</w:t>
      </w:r>
    </w:p>
    <w:p>
      <w:r>
        <w:t>IT: ZH_SOZIALVERSICHERUNGSGERICHT ZL.2008.00033 del 30 novembre 2009</w:t>
      </w:r>
    </w:p>
    <w:p>
      <w:pPr>
        <w:pStyle w:val="Heading2"/>
      </w:pPr>
      <w:r>
        <w:t>Erwägungen</w:t>
      </w:r>
    </w:p>
    <w:p>
      <w:r>
        <w:rPr>
          <w:b/>
        </w:rPr>
        <w:t>E. 3</w:t>
      </w:r>
    </w:p>
    <w:p>
      <w:r>
        <w:t>3.1Â Â Â Â  Bei den im FrÃ¼hjahr 2007 eingereichten Buchhaltungsunterlagen der BeschwerdefÃ¼hrerin betreffend das Jahr 2006 (Urk. 11/207, Urk. 11/207a) handelt es sich um neue Beweismittel im Sinne von Art. 53 Abs. 1 ATSG. Das Z.___ war daher verpflichtet, die VerfÃ¼gungen, welche den ab 1. Januar 2006 zugesprochenen Zusatzgelder zugrunde lagen, in prozessuale Revision zu ziehen, was unbestritten ist (Urk. 1). Bei der Neuberechnung der Zusatzleistungen hat das Z.___ die anerkannten Ausgaben und anrechenbaren Einnahmen der BeschwerdefÃ¼hrer gestÃ¼tzt auf die erwÃ¤hnte Rechtsprechung mit der BegrÃ¼ndung zusammengerechnet, die Versicherten wÃ¼rden nach wie vor zusammenleben (angefochtener Einspracheentscheid, Urk. 6/1; angefochtene VerfÃ¼gung, Urk. 6/1a).</w:t>
      </w:r>
    </w:p>
    <w:p>
      <w:r>
        <w:t>Â Â Â Â Â Â Â Â  Diese Beurteilung bestreiten die BeschwerdefÃ¼hrenden. Sie machen diesbezÃ¼glich in ihrer Beschwerde (Urk. 1, Urk. 6/2) im Wesentlichen geltend, nach der gerichtlichen Trennung vom 1. April 2004 hÃ¤tten sie sich auf die Suche nach je einer separaten Wohnung gemacht, wobei die Versicherte - im Hinblick auf die Betreuung des BeschwerdefÃ¼hrers - eine Wohnung in dessen unmittelbarer NÃ¤he gesucht habe. Aufgrund des schwierigen Wohnungsmarktes seien ihre BemÃ¼hungen indessen vergeblich gewesen. Weil sich der BeschwerdefÃ¼hrer mit einer Verlegung in ein Pflegeheim sehr schwer getan und sich dessen Gesundheitszustand seit 2004 zunehmend verschlechtert habe, habe die Versicherte aus ethisch-moralischen GrÃ¼nden davon abgesehen, anderorts eine Wohnung zu beziehen. Eine Ehe werde seit der gerichtlichen Trennung nicht mehr gelebt. Bei dieser Ausgangslage kÃ¶nne sich die Ehefrau als Pflegerin des Versicherten praktisch selber nicht mehr entfalten. Das Gesetz schliesse ein Getrenntleben innerhalb der Wohnung nicht aus. Eine gerichtliche Trennung habe rechtliche Konsequenzen, welche nicht einfach unter Hinweis auf die wirtschaftliche Betrachtungsweise Ã¼bergangen werden kÃ¶nnten. So trete von Gesetzes wegen die GÃ¼tertrennung ein und die Ehegatten wÃ¼rden einzeln besteuert.</w:t>
      </w:r>
    </w:p>
    <w:p>
      <w:r>
        <w:t>3.2Â Â Â Â  Tatsache ist, dass die Eheleute trotz gerichtlicher Trennung der Ehe mit Urteil vom 30. Juni 2004 (Urk. 3/5) nach wie vor im gleichen Haushalt zusammenwohnen, was unbestritten ist (Mietvertrag vom 8. Februar 2005, Urk. 11/140; Urk. 1). Unter diesen UmstÃ¤nden hat die Verwaltung zu Recht im Sinne der dargelegten Rechtsprechung und Verwaltungspraxis auf die tatsÃ¤chlichen und nicht auf die rechtlichen VerhÃ¤ltnisse abgestellt. Die Vorbringen der BeschwerdefÃ¼hrer geben keinen Anlass dazu, im vorliegenden Fall davon abzuweichen:</w:t>
      </w:r>
    </w:p>
    <w:p>
      <w:r>
        <w:t>Â Â Â Â Â Â Â Â  Denn in Anbetracht der Bedeutung der wirtschaftlichen UmstÃ¤nde kommt den von ihnen erwÃ¤hnten Motiven fÃ¼r das weitere Zusammenwohnen nach der gerichtlichen Ehetrennung keine ausschlaggebende Bedeutung zu. Schliesslich wird durch den angegebenen Umstand, dass die BeschwerdefÃ¼hrerin den Versicherten intensiv und zeitlich in hohem Ausmass betreut, auch das wirtschaftliche Moment des Zusammenwohnens im gleichen Haushalt verstÃ¤rkt. Vor allem aber verkennen die BeschwerdefÃ¼hrenden die zivilrechtliche Bedeutung einer gerichtlichen Ehetrennung. Denn abgesehen von bestimmen Ausnahmen (wie Wegfall des ehelichen Zusammenlebens) bleiben die allgemeinen zivilrechtlichen Wirkungen der Ehe - insbesondere der Personenstand der Eheleute, deren gegenseitiges Erbrecht, die allgemeine Beistandspflicht nach Art. 159 Abs. 3 des Zivilgesetzbuches (ZGB) und die eheliche Unterhaltspflicht (Art. 163 ZGB) - grundsÃ¤tzlich bestehen, weshalb die Ehetrennung in ihren rechtlichen Wirkungen weit mehr der Berechtigung zum Getrenntleben nach Art. 175 ZGB als der Scheidung gleicht (Urteil des Bundesgerichts in Sachen F. vom 17. Juli 2009, 9C_572/2008, Erw. 5.3.3, mit Hinweisen). Vor diesem Hintergrund - und weil bei der Auslegung sozialversicherungsrechtlicher Regelungen mit AnknÃ¼pfung an familienrechtliche Sachverhalte rechtsprechungsgemÃ¤ss davon auszugehen ist, dass der Gesetzgeber die zivilrechtliche Bedeutung des jeweiligen Instituts im Blickfeld hatte, zumal das Familienrecht fÃ¼r das Sozialversicherungsrecht Voraussetzung ist und diesem grundsÃ¤tzlich vorgeht (BGE 121 V 127 Erw. 2c/aa, mit Hinweisen) - wÃ¼rde es dem Sinn von Art. 1 Abs. 4 lit. a ELV klar widersprechen, bei Eheleuten, die wie vorliegend im gleichen Haushalt wohnen, eine gesonderte Berechnung der AnsprÃ¼che auf Zusatzleistungen vorzunehmen. Somit erweist sich dieser Einwand der BeschwerdefÃ¼hrenden als unbegrÃ¼ndet, umso mehr als die Versicherten gemÃ¤ss den nachfolgenden ErwÃ¤gungen auch in finanzieller Hinsicht eng verflochten sind.</w:t>
      </w:r>
    </w:p>
    <w:p>
      <w:r>
        <w:rPr>
          <w:b/>
        </w:rPr>
        <w:t>E. 4</w:t>
      </w:r>
    </w:p>
    <w:p>
      <w:r>
        <w:t>4.1Â Â Â Â  Bei der Neuberechnung der Zusatzleistungen rechnete das Z.___ - gestÃ¼tzt auf eine Jahresrechnung der Versicherten betreffend das Jahr 2006 (Urk. 11/207) - fÃ¼r die Zeit ab 1. Januar 2006 und 2007 ein Erwerbseinkommen von Fr. 80'000.- pro Jahr an (Urk. 6/1a).</w:t>
      </w:r>
    </w:p>
    <w:p>
      <w:r>
        <w:t>Â Â Â Â Â Â Â Â  Dieses Vorgehen bemÃ¤ngeln die BeschwerdefÃ¼hrenden. Sie machen dazu in ihrer Beschwerde (Urk. 1, Urk. 6/2) im Wesentlichen geltend, es sei unzulÃ¤ssig, ein hypothetisches Einkommen anzurechnen, indem praktisch der ganze GeschÃ¤ftsertrag als Einkommen beurteilt, einzelne Aufwandpositionen herausgepickt und als nicht berufsbedingt taxiert und alle Ã¼brigen Aufwandpositionen Ã¼bergangen wÃ¼rden. Allein schon die AHV-BeitrÃ¤ge, welche die Versicherte fÃ¼r das ihr angerechnete Einkommen als SelbstÃ¤ndigerwerbende nachzuzahlen hÃ¤tte, wÃ¼rden sich auf Ã¼ber 10 % des angeblichen Einkommens von Fr. 80'000.- belaufen. Dieses Vorgehen komme einer willkÃ¼rlichen BeweiswÃ¼rdigung gleich. Die Aufwendungen seien daher richtig zu ermitteln, wobei im Bedarfsfall ein Fachmann beizuziehen sei. Zudem sei die enge Umschreibung der zulÃ¤ssigen Aufwandpositionen nicht adÃ¤quat.Â</w:t>
      </w:r>
    </w:p>
    <w:p>
      <w:r>
        <w:t>Â Â Â Â Â Â Â Â  Dagegen fÃ¼hrt der Bezirksrat im angefochtenen Beschluss vom 14. Februar 2008 (Urk. 2) im Wesentlichen aus, die BeschwerdefÃ¼hrenden seien mit Schreiben des Z.___ vom 26. MÃ¤rz 2007 aufgefordert worden, eine detaillierte Aufstellung und Beschreibung des Aufwandes fÃ¼r das Jahr 2006 einzureichen. Dieser Aufforderung seien sie nicht nachgekommen. Es wÃ¤re jedoch ihre Aufgabe gewesen, diejenigen Kosten auszuweisen, welche direkt mit den Pflegeleistungen im Zusammenhang stehen. Der Beizug eines Experten sei deshalb nicht notwendig. Im Ergebnis sei daher festzuhalten, dass die Versicherten die behaupteten Gewinnungskosten weder beziffert noch belegt hÃ¤tten.</w:t>
      </w:r>
    </w:p>
    <w:p>
      <w:r>
        <w:t>4.2.Â Â Â  Das sozialversicherungsrechtliche Verwaltungs- und Verwaltungsgerichtsbeschwerdeverfahren ist vom Untersuchungsgrundsatz beherrscht, indem Verwaltung und Sozialversicherungsgericht von sich aus fÃ¼r die richtige und vollstÃ¤ndige AbklÃ¤rung des Sachverhaltes zu sorgen haben. Dieser Grundsatz gilt indes nicht uneingeschrÃ¤nkt; er findet sein Korrelat in den Mitwirkungspflichten der Parteien (BGE 125 V 193 Erw. 2 S. 195;Â  122 V 157 Erw. 1a S. 158; vgl. BGE 130 I 180 Erw. 3.2 S. 183).</w:t>
      </w:r>
    </w:p>
    <w:p>
      <w:r>
        <w:t>Â Â Â Â Â Â Â Â  Als Gewinnungskosten sind die unmittelbar zur Erzielung des rohen Einkommens wie die zur Erhaltung der Einkommensquelle gemachten Aufwendungen zu betrachten. Es sind die Ausgaben, welche die Erzielung des erfassten Einkommens mit sich bringt und die sich aus einer BerufstÃ¤tigkeit unmittelbar ergeben. Keine Gewinnungskosten sind Auslagen, die mit dem Erwerb nicht oder nur mittelbar zusammenhÃ¤ngen (Urteil des EidgenÃ¶ssischen Versicherungsgerichts [heute: Bundesgericht] in Sachen Z. vom 5. August 2005, P 22/05, Erw. 2). Nach den allgemeinen Regeln hat eine versicherte beziehungsweise eine selbstÃ¤ndigerwerbende Person den Nachweis fÃ¼r geltend gemachte AufwÃ¤nde wie Gewinnungs- oder GeschÃ¤ftsunkosten zu erbringen. Insbesondere obliegt es ihr zu beweisen, dass eine fragliche Leistung geschÃ¤ftsmÃ¤ssig begrÃ¼ndet ist. Denn die Verwaltung muss sichergehen, dass ausschliesslich geschÃ¤ftliche und nicht sonstige GrÃ¼nde fÃ¼r eine bestimmte Leistung ausschlaggebend waren (Urteil des Bundesgerichts in Sachen X. vom 9. September 2009, 2C_377/2009, Erw. 2.3). Wenn gewisse Unkosten mit Sicherheit entstanden sind, ein genauer ziffernmÃ¤ssiger Nachweis aber wegen der besonderen VerhÃ¤ltnisse nicht mÃ¶glich ist, so sind sie - unter BerÃ¼cksichtigung der glaubhaften Angaben der versicherten Person - zu schÃ¤tzen (Urteil des EidgenÃ¶ssischen Versicherungsgerichts in Sachen B. vom 2. August 2004, H 274/03, Erw. 4.1).</w:t>
      </w:r>
    </w:p>
    <w:p>
      <w:r>
        <w:t>4.3Â Â Â Â  Die Versicherte betreibt gemÃ¤ss dem Handelsregisterauszug seit Anfang des Jahres 2006 eine Einzelfirma (Urk. 11/177). Dabei erwirtschaftete sie im Jahr 2006 gemÃ¤ss der vorgelegten Erfolgsrechnung einen Ertrag von gesamthaft Fr. 88'652.90. Davon stammen - gemÃ¤ss der ebenfalls vorgelegten Buchhaltung betreffend die Assistenzgelder des Versicherten (Urk. 11/204b) - (mindestens) Fr. 79'958.80 aus Assistenzgeldern, welche der Versicherte der BeschwerdefÃ¼hrerin fÃ¼r deren im Sinne der Verordnung Ã¼ber den Pilotversuch "Assistenzbudget" erbrachte Dienstleistungen entrichtet hat. Unter BerÃ¼cksichtigung dieses Umstandes und der AusfÃ¼hrungen in der Beschwerde (Urk. 1), wonach die Versicherte infolge der zeitintensiven Pflege ihres Ehemannes sich praktisch selber nicht mehr habe entfalten kÃ¶nnen, ist davon auszugehen, dass die TÃ¤tigkeit der BeschwerdefÃ¼hrerin im Jahr 2006 fast ausschliesslich in der Betreuung des Ehemannes bestand. Bei dieser Betreuungsarbeit handelt es sich gemÃ¤ss den Akten vor allem um einen Zeitaufwand, welcher im Bereich der Wohnung der BeschwerdefÃ¼hrenden stattgefunden hat (vgl. auch den zwischen den BeschwerdefÃ¼hrenden abgeschlossenen Vertrag "Freelancing" vom 1. Januar 2006, Urk. 11/208).</w:t>
      </w:r>
    </w:p>
    <w:p>
      <w:r>
        <w:t>Â Â Â Â Â Â Â Â  Vor diesem Hintergrund sind die Aufwandpositionen in der erwÃ¤hnten Erfolgsrechnung der Einzelfirma der BeschwerdefÃ¼hrerin unklar und nicht nachvollziehbar (als Beispiel: "Sachversicherungen Fr. 41'111.84"; "Garten Fr. 12'301.40", Urk. 11/207). Zudem sind in den zugehÃ¶rigen KontoblÃ¤ttern viele Positionen verbucht, die als normale Lebenshaltungskosten zu qualifizieren sind (als Beispiel vieler: das Kontoblatt 6320 "Fachliteratur" mit den verbuchten AufwÃ¤nden fÃ¼r die Abonnemente der Sonntagszeitung, des Beobachters oder des K-Tipps, Urk. 11/207a). In Anbetracht dieser offenkundigen MÃ¤ngel und WidersprÃ¼che sind die verbuchten Aufwandpositionen in der erwÃ¤hnten Erfolgsrechnung (Urk. 11/207) als unrichtig zu vermuten (Urteil des Bundesgerichts in Sachen M. vom 23. November 2004, 2A.426/2004, Erw. 2.3). Zu Recht hat daher das Z.___ den BeschwerdefÃ¼hrenden mit Schreiben vom 27. MÃ¤rz 2007 auferlegt, den geltend gemachten Aufwand des Jahres 2006 innert der angesetzten Frist mittels detaillierter Aufstellung und Beschreibung sowie entsprechender Unterlagen zu belegen (Urk. 11/214). Dieser Auflage kamen die BeschwerdefÃ¼hrenden nicht nach, haben sie doch im gesamten bisherigen Verfahren keine einzige Aufwandposition der erwÃ¤hnten Erfolgsrechnung (Urk. 11/207) belegt, substantiiert oder deren geschÃ¤ftlichen Charakter nachgewiesen. Unter diesen UmstÃ¤nden erÃ¼brigt sich jedoch, auf einzelne Aufwandpositionen nÃ¤her einzugehen oder einen Fachmann beizuziehen. Vielmehr wÃ¤re es nach der dargelegten Rechtsprechung Sache der BeschwerdefÃ¼hrenden gewesen, die zum Abzug geltend gemachten AufwÃ¤nde und deren Charakter nachzuweisen und dabei aufgrund ihrer Mitwirkungspflicht die entsprechenden Unterlagen einzureichen.</w:t>
      </w:r>
    </w:p>
    <w:p>
      <w:r>
        <w:t>Â Â Â Â Â Â Â Â  Nachdem sie dies unterlassen haben, haben sie die Folgen einer solchen Beweislosigkeit zu tragen, weshalb davon auszugehen ist, dass die in der erwÃ¤hnten Erfolgsrechnung (Urk. 11/207) verbuchten AufwÃ¤nde privaten Charakter haben und dass die BeschwerdefÃ¼hrerin somit im Jahr 2006 ein Erwerbseinkommen von Fr. 88'652.90 erzielt hat. Zieht man von diesem verbuchten Betrag - bei dem es sich gemÃ¤ss den Akten entgegen einer nicht nÃ¤her begrÃ¼ndeten Andeutung (Urk. 1) keineswegs bloss um fiktive ErtrÃ¤ge handelt - die Mehrwertsteuern von Fr. 5'545.50 (Urk. 11/204b) ab, verbleibt ein Einkommen von Fr. 83'107.40. Dass die Versicherte auf diesem Betrag Ã¼berhaupt oder gar in grÃ¶sserem Umfang AHV-BeitrÃ¤ge bezahlt hat, hat sie weder substantiiert behauptet noch nachgewiesen (Urk. 1). Unter diesen UmstÃ¤nden ist die streitige Anrechnung des Erwerbseinkommens von Fr. 80'000.- nicht zu beanstanden. Dies gilt auch hinsichtlich der Zeit ab 1. Januar 2007, zumal keine konkreten Anhaltspunkte dafÃ¼r vorliegen, dass sich die massgebenden VerhÃ¤ltnisse in dieser Zeit in relevanter Weise geÃ¤ndert hÃ¤tten. Nachdem die Berechnung des Anspruchs auf Zusatzleistungen gemÃ¤ss der angefochtenen VerfÃ¼gung vom 2. April 2007 (Urk. 6/1a) im Ãbrigen nicht bestritten wurde und aufgrund der Akten nicht zu beanstanden ist, steht die UnrechtmÃ¤ssigkeit der ausgerichteten Zusatzleistungen fest. In Anbetracht des erheblichen EinkommensÃ¼berschusses wÃ¼rde sich an diesem Ergebnis im Ãbrigen selbst dann nichts Ã¤ndern, wenn man trotz fehlendem Nachweis beim angerechneten Erwerbseinkommen noch mehrere Tausend Franken als Unkosten abziehen wÃ¼rde.</w:t>
      </w:r>
    </w:p>
    <w:p>
      <w:r>
        <w:t>Â Â Â Â Â Â Â Â  Somit sind auch diese EinwÃ¤nde der BeschwerdefÃ¼hrenden unbegrÃ¼ndet.</w:t>
      </w:r>
    </w:p>
    <w:p>
      <w:r>
        <w:t>5.Â Â Â Â Â Â  Diese ErwÃ¤gungen fÃ¼hren zur Abweisung der Beschwerde und zur BestÃ¤tigung des angefochtenen Einspracheentscheides. Nachdem der Beschwerde (Urk. 1) aufschiebende Wirkung zukommt (Â§ 17 des Gesetzes Ã¼ber das Sozialversicherungsgericht) und im Beschluss des Bezirksrates vom 14. Februar 2008 nichts Gegenteiliges angeordnet wurde (Urk. 2), ist der Antrag in der Beschwerde (Urk. 1) auf Wiederherstellung der aufschiebenden Wirkung gegenstandslos.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Dario Zarro</w:t>
      </w:r>
    </w:p>
    <w:p>
      <w:r>
        <w:t>- Stadt ZÃ¼rich Amt fÃ¼r Zusatzleistungen zur AHV/IV</w:t>
      </w:r>
    </w:p>
    <w:p>
      <w:r>
        <w:t>- Bezirksrat ZÃ¼rich</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