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ZL.2008.00001 vom 31. Januar 2010</w:t>
      </w:r>
    </w:p>
    <w:p>
      <w:r>
        <w:t>ZH Sozialversicherungsgericht, 2010-01-31, DE</w:t>
      </w:r>
    </w:p>
    <w:p>
      <w:r>
        <w:rPr>
          <w:b/>
        </w:rPr>
        <w:t xml:space="preserve">Quelle: </w:t>
      </w:r>
      <w:r>
        <w:t>https://mcp.opencaselaw.ch/entscheid/zh_sozialversicherungsgericht_ZL.2008.00001</w:t>
      </w:r>
    </w:p>
    <w:p>
      <w:r>
        <w:t>FR: ZH_SOZIALVERSICHERUNGSGERICHT ZL.2008.00001 du 31 janvier 2010</w:t>
      </w:r>
    </w:p>
    <w:p>
      <w:r>
        <w:t>IT: ZH_SOZIALVERSICHERUNGSGERICHT ZL.2008.00001 del 31 gennaio 2010</w:t>
      </w:r>
    </w:p>
    <w:p>
      <w:pPr>
        <w:pStyle w:val="Heading2"/>
      </w:pPr>
      <w:r>
        <w:t>Erwägungen</w:t>
      </w:r>
    </w:p>
    <w:p>
      <w:r>
        <w:rPr>
          <w:b/>
        </w:rPr>
        <w:t>E. 3</w:t>
      </w:r>
    </w:p>
    <w:p>
      <w:r>
        <w:t>3.1Â Â Â Â  Wie die BeschwerdefÃ¼hrerin zu Recht festhÃ¤lt (Urk. 7/24 S. 2) - hat sich der zu beurteilende Erbfall noch unter dem alten, bis zum 31. Dezember 1987 geltenden EhegÃ¼ter- und Erbrecht ereignet. Nach Art. 9a sowie Art. 15 SchlT/ZGB richten sich die gÃ¼terrechtliche Auseinandersetzung und die erbrechtlichen VerhÃ¤ltnisse nach dem im Zeitpunkt des Todes geltenden Recht.</w:t>
      </w:r>
    </w:p>
    <w:p>
      <w:r>
        <w:t>Â Â Â Â Â Â Â Â  Wurde eine nach altem Recht geschlossene Ehe durch den Tod eines Ehegatten aufgelÃ¶st und ergab sich nach der Ausscheidung des Mannes- und Frauengutes ein Vorschlag, so gehÃ¶rte dieser gemÃ¤ss alt Art. 214 Abs. 1 des Zivilgesetzbuches (ZGB) zu einem Drittel der Ehefrau und im Ãbrigen dem Ehemann. Nach Art. 214 Abs. 3 aZGB waren die Ehegatten jedoch befugt, durch Ehevertrag eine andere Beteiligung am Vorschlag zu verabreden. Insbesondere konnten die Ehegatten vereinbaren, dass der gesamte Vorschlag bei Vorabsterben des einen Ehegatten dem Ã¼berlebenden Ehegatten zufalle. Nach der unter dem alten Recht ergangenen Rechtsprechung wurde die Ã¼ber den gesetzlichen Anspruch hinausgehende Vorschlagszuteilung an den Ã¼berlebenden Ehegatten als Schenkung auf den Todesfall im Sinne von Art. 245 Abs. 2 des Obligationenrechtes (OR) behandelt. Diese unterlag wie eine VerfÃ¼gung von Todes wegen der Herabsetzung nach Art. 522 ZGB, soweit sie die Pflichtteilsrechte der Nachkommen verletzte (BGE 102 II 313). GeschÃ¼tzt waren dabei auch die Pflichtteile der gemeinsamen Nachkommen - dies im Gegensatz zum heutigen Recht, das nurmehr die Pflichtteile der nicht gemeinsamen Nachkommen schÃ¼tzt.</w:t>
      </w:r>
    </w:p>
    <w:p>
      <w:r>
        <w:t>Â Â Â Â Â Â Â Â  Nach Art. 462 aZGB erhielt der Ã¼berlebende Ehegatte neben Nachkommen des Erblassers einen Viertel des Nachlasses zu Eigentum oder die HÃ¤lfte der Erbschaft zur Nutzniessung. Der Pflichtteil der Kinder betrug gemÃ¤ss Art. 471 aZGB - wie heute - 3/4 des gesetzlichen Erbanspruchs.</w:t>
      </w:r>
    </w:p>
    <w:p>
      <w:r>
        <w:t>3.2Â Â Â Â  Die Ehegatten X.___ haben am 1. September 1976 einen Ã¶ffentlich-beurkundeten Ehevertrag abgeschlossen (Urk. 3/2), wonach der gesamte Vorschlag beim Tode des einen Ehegatten dem Ã¼berlebenden Ehegatten zugewiesen wurde. GemÃ¤ss Art. 181 Abs. 2 aZGB bedurften EhevertrÃ¤ge, welche wÃ¤hrend der Ehe abgeschlossen wurden, der Zustimmung der VormundschaftsbehÃ¶rde. Der von den Parteien abgeschlossene Ehevertrag ist zwar entsprechend Art. 181 Abs. 1 aZGB Ã¶ffentlich beurkundet und von beiden Ehegatten unterzeichnet. AusdrÃ¼cklich wird darin jedoch festgehalten, dass die Parteien die Genehmigung der VormundschaftsbehÃ¶rde der Stadt Y.___ selber einholen wÃ¼rden (Urk. 3/2 S. 2). Nach der unbestrittenen Darstellung der BeschwerdefÃ¼hrerin wurde diese ZustimmungserklÃ¤rung nie eingeholt, weshalb der Ehevertrag nicht gÃ¼ltig ist und daraus keine Rechtsfolgen abgeleitet werden kÃ¶nnen (Urk. 1 S. 5).</w:t>
      </w:r>
    </w:p>
    <w:p>
      <w:r>
        <w:t>Â Â Â Â Â Â Â Â  Nach dem Tode ihres Ehemanns bewohnte die BeschwerdefÃ¼hrerin weiterhin die eheliche Liegenschaft, verfÃ¼gte Ã¼ber die vorhandenen Wertschriften und nutzte sie, Ã¼bte faktisch somit die Nutzniessung am VermÃ¶gen des verstorbenen Ehegatten aus. Dass diese, ihr von den Ã¼brigen Erben zugestandene Nutzniessung, welche im Erbteilungsvertrag noch ausdrÃ¼cklich schriftlich festgehalten wurde, nie im Grundbuch eingetragen worden ist, schadet dabei nicht und kommt einem obligatorischen Nutzungsrecht gleich, das auch ohne Grundbucheintrag gÃ¼ltig besteht (Urteil des Bundesgerichts vom 19. Oktober 2009 in Sachen S., 9C_202/2009, mit Hinweis auf BGE 109 II 15 Erw. 2 S. 19; Urteil 2A.232/2001 vom 31. Januar 2002 Erw. 2c, in: StR 57/2002 S. 322 und StE 2002 B 25.3 Nr. 28). So ist unbestritten, dass die BeschwerdefÃ¼hrerin sowohl die Liegenschaft als auch die Wertschriften auch allein versteuert hat (Urk. 1 S. 5). Im April 1985 meldete sie jene gestÃ¼tzt auf die Erbenbescheinigung (Beilage zu Urk. 5/2/5) infolge Erbganges zur Eintragung auf die Erbengemeinschaft an (Urk. 5/2/4). GemÃ¤ss Grundbucheintrag waren die BeschwerdefÃ¼hrerin und ihre drei Kinder ab diesem Zeitpunkt GesamteigentÃ¼mer der Liegenschaft. Weder in gÃ¼ter- noch in erbrechtlicher Hinsicht unternahmen die Erben in der Folge weitere Schritte.</w:t>
      </w:r>
    </w:p>
    <w:p>
      <w:r>
        <w:t>3.3.Â Â Â  Am 27. Oktober 2002 kam es zur Erbteilung. Der Teilungsvertrag (Urk. 7/10) enthÃ¤lt einerseits AusfÃ¼hrungen Ã¼ber den Antritt der Erbschaft durch alle Erben. Sodann stellt er fest, dass das ganze VermÃ¶gen den Nachlass des Verstorbenen darstelle, weder eingebrachtes Frauengut, noch Sondergut oder Ersatzforderungen der BeschwerdefÃ¼hrerin bestehen wÃ¼rden, dass die Ehegatten dem alten ordentlichen GÃ¼terstand der GÃ¼terverbindung unterstanden hÃ¤tten und damit die altrechtlichen Erbrechtsbestimmungen anwendbar seien (Ziff. 1-4). Auch gemÃ¤ss dem Teilungsvertrag wurde die gÃ¼terrechtliche Auseinandersetzung nicht vorgenommen; vielmehr wurde festgestellt, obligatorische AuszahlungsansprÃ¼che, welche seit Jahren verjÃ¤hrt seien, habe die Ã¼berlebende Ehegattin nicht geltend gemacht (Ziff. 4).</w:t>
      </w:r>
    </w:p>
    <w:p>
      <w:r>
        <w:t>Â Â Â Â Â Â Â Â  In Ziffer 5 des Teilungsvertrages finden sich der Hinweis auf die erbrechtlichen Bestimmungen von Art. 457 und 462 aZGB und die Feststellung, dass die Versicherte die Nutzniessung gewÃ¤hlt habe, wobei ihr die drei Nachkommen entgegenkommenderweise die Nutzniessung an der ganzen Erbschaft respektive am ganzen Nachlass eingerÃ¤umt hÃ¤tten. In Ziffer 5 des Teilungsvertrages wird zudem ausdrÃ¼cklich festgehalten, dass die Nutzniessung mit den entsprechenden Rechten und Pflichten bisher so praktiziert worden sei und mit diesem Vertrag bestÃ¤tigt und zugesichert werde. Schliesslich enthÃ¤lt der Vertrag Bestimmungen darÃ¼ber, wie es sich verhalten solle, wenn die Nachkommen zur Bestreitung des Lebensunterhaltes ihrer Mutter einschliesslich Pflege- und Krankheitskosten Zahlungen aus dem NachlassvermÃ¶gen leisten mÃ¼ssten und deswegen allenfalls sogar die Liegenschaft belastet werden mÃ¼sste (Ziff. 5 Abs. 2). Vertraglich sahen die Erben vor, dass in diesem Fall die BeschwerdefÃ¼hrerin die dabei allenfalls anfallenden Schuldzinsen Ã¼bernehmen wÃ¼rde. Weiter Ã¼bertrug die Versicherte ihre Vertretung und Verwaltung des NutzniessungsvermÃ¶gens ihrem Sohn A.___ (Ziff. 5 Abs. 3).</w:t>
      </w:r>
    </w:p>
    <w:p>
      <w:r>
        <w:t>Â Â Â Â Â Â Â Â  GestÃ¼tzt auf die Regelungen gemÃ¤ss Teilungsvertrag schied die BeschwerdefÃ¼hrerin aus der Erbengemeinschaft aus, wÃ¤hrenddem ihr die Nutzniessung am Nachlass verblieb (Ziff. 6). Die Erbengemeinschaft wurde von den Ã¼brigen Erben - den drei Nachkommen - fortgesetzt und der Eintrag der Liegenschaft auf sie als neue EigentÃ¼mer veranlasst. Indes verzichtete die Versicherte auf eine Eintragung der Nutzniessung am Wohnhaus im Grundbuch (Ziff. 6 Abs. 3).</w:t>
      </w:r>
    </w:p>
    <w:p>
      <w:r>
        <w:t>Â Â Â Â Â Â Â Â  Damit steht fest, dass die BeschwerdefÃ¼hrerin mit dem Abschluss des Erbteilungsvertrags aus der Erbengemeinschaft ausgeschieden ist und mit Bezug auf sie die Erbteilung am 27. Oktober 2002 vollzogen wurde.</w:t>
      </w:r>
    </w:p>
    <w:p>
      <w:r>
        <w:t>3.4Â Â Â Â</w:t>
      </w:r>
    </w:p>
    <w:p>
      <w:r>
        <w:t>3.4.1Â Â Â Â Â Â Â Â  GrundsÃ¤tzlich wÃ¤re der erbrechtlichen Auseinandersetzung die AuflÃ¶sung des GÃ¼terstandes, unter dem die Ehegatten gelebt haben, vorausgegangen. Indessen verjÃ¤hrt der zugunsten des Ã¼berlebenden Ehegatten bestehende Anspruch darauf in zehn Jahren (Art. 127 OR; Hausheer/Reusser/Geiser, Berner Kommentar, N. 26 zu Art. 215 ZGB). Diese gÃ¼terrechtliche Auseinandersetzung ist unbestrittenermassen nicht erfolgt und bis zehn Jahre nach der AuflÃ¶sung des GÃ¼terstandes, welche mit dem Todestag des Ehegatten der Versicherten vom 29. Juli 1984 erfolgte (Art. 204 Abs. 1 aZGB), auch nicht verlangt worden. Das Ehepaar X.___ holte auch die Genehmigung der VormundschaftsbehÃ¶rde fÃ¼r den Ehevertrag nicht ein.</w:t>
      </w:r>
    </w:p>
    <w:p>
      <w:r>
        <w:t>Â Â Â Â Â Â Â Â  Wenn somit die Erben an sich in zutreffender Weise das ganze VermÃ¶gen des Verstorbenen als seinen Nachlass bezeichnen (Urk. 7/10 Ziff. 2), so stellt sich aber zunÃ¤chst die Frage, ob darin eine Verzichtshandlung der BeschwerdefÃ¼hrerin zu erblicken ist, dass sie nicht fÃ¼r die Umsetzung der mit ihrem verstorbenen Mann getroffenen gÃ¼terrechtlichen Regelung besorgt gewesen ist. Dies ist zu verneinen. Denn fÃ¼r die Genehmigung des Ehevertrages durch die VormundschaftsbehÃ¶rde hÃ¤tten beide Ehegatten aktiv werden mÃ¼ssen, wie sich aus Ziff. IV des Ehevertrages ergibt (Urk. 3/2). Die Tatsache, dass sie bis zum Tod des Ehemannes darauf verzichtet haben, fÃ¼hrte dazu, dass der Vertrag nicht wirksam wurde, also - vom Ergebnis her - nicht zustandekam. Genauso wenig, wie nun einem Ehepaar als VermÃ¶gensverzicht angerechnet werden kann, wenn es wÃ¤hrend der Ehe Ã¼berhaupt nie einen jeweils den andern Ehegatten begÃ¼nstigenden Ehevertrag abgeschlossen hat, kann der Versicherten und ihrem verstorbenen Ehemann vorgeworfen werden, sie hÃ¤tten dem von ihnen abgeschlossenen Ehevertrag nicht zur definitiven Wirksamkeit verholfen. Ein Verzicht kÃ¶nnte erst dann angenommen werden, wenn der Vertrag formgÃ¼ltig abgeschlossen und von der VormundschaftsbehÃ¶rde genehmigt, aber dennoch nicht vollzogen worden wÃ¤re. Dem Verzicht, Ã¼berhaupt einen Ehevertrag bis zu dessen Wirksamkeit abzuschliessen, kann demgegenÃ¼ber noch keine Wirkung zukommen. Vorbehalten bleibt selbstverstÃ¤ndlich ein rechtsmissbrÃ¤uchliches Vorgehen, das jedoch in Bezug auf den vorliegenden Fall nicht behauptet wird und fÃ¼r welches auch keine Anhaltspunkte bestehen.</w:t>
      </w:r>
    </w:p>
    <w:p>
      <w:r>
        <w:t>3.4.2Â Â  Da die vertraglich vereinbarte, aber nicht von der VormundschaftschaftsbehÃ¶rde genehmigte und deshalb nichtige (BGE 78 I 75) Vorschlagszuweisung unbeachtlich ist, bleibt zu prÃ¼fen, ob die danach immer noch mÃ¶gliche, ebenfalls nicht stattgehabte, gesetzlich vorgesehene gÃ¼terrechtliche Auseinandersetzung als Verzicht durch die Versicherte ausgelegt werden kann. HÃ¤tte die gesetzliche gÃ¼terrechtliche Auseinandersetzung nach den altrechtlichen Bestimmungen des Eherechts nach der Ausscheidung des Mannes- und des Frauengutes einen Vorschlag ergeben, so hÃ¤tte dieser zu einem Drittel der BeschwerdefÃ¼hrerin gehÃ¶rt (Art. 214 Abs. 1 aZGB). Massgebend fÃ¼r die Bewertung des ehelichen VermÃ¶gens und namentlich der Errungenschaft war nach dem alten Recht der Zeitpunkt der AuflÃ¶sung des GÃ¼terstandes, also des Todes des erstverstorbenen Ehegatten (BGE 80 II 194; 116 II 237).</w:t>
      </w:r>
    </w:p>
    <w:p>
      <w:r>
        <w:t>Â Â Â Â Â Â Â Â  GemÃ¤ss dem Steuerinventar vom 6. August 1984 bestand per Todestag ein ReinvermÃ¶gen von Fr. 641'017.55, bestehend aus der Liegenschaft B.___ sowie aus Wertschriften (Urk. 7/11). Nach Abzug des im Steuerinventar aufgefÃ¼hrten Betrages von Fr. 5'000.-- Eigengut des Ehemannes verblieben Fr. 636'017.55. Da im Ãbrigen im Erbteilungsvertrag ausdrÃ¼cklich festgehalten wurde, dass kein eingebrachtes Frauengut vorhanden sei und kein Sondergut oder Ersatzforderungen bestehen wÃ¼rden (Urk. 7/10 Ziff. 2) und dies den Feststellungen im erwÃ¤hnten Steuerinventar entspricht, stellt dieses ganze, nach dem Tod des Ehemannes bestehende VermÃ¶gen ehelichen Vorschlag dar, an welchem die Versicherte mit einem Drittel (= Fr. 212'005.85) partizipiert hÃ¤tte, unter Vorbehalt der Beachtung der Pflichtteilsrechte ihrer erbberechtigten Nachkommen. Auf diesen Vorschlagsdrittel hat die BeschwerdefÃ¼hrerin verzichtet, da sie vor ihrem Ausscheiden aus der Erbengemeinschaft und bis zum Ablauf der zehnjÃ¤hrigen VerjÃ¤hrungsfrist auf die gÃ¼terrechtliche Auseinandersetzung verzichtet hat. Zeitlich ist der Verzicht auf den Tag des Ablaufs der VerjÃ¤hrungsfrist festzusetzen, das heisst auf den 29. Juli 1994 (Art. 77 Abs. 1 Ziff. 3 OR), denn selbst wenn die Liegenschaft durch Erbfolge auf die Witwe und die drei Nachkommen des Verstorbenen zu Gesamteigentum im Grundbuch eingetragen worden ist, hÃ¤tte dies die Versicherte nicht daran gehindert, bis zum Ablauf der zehnjÃ¤hrigen Frist noch die gÃ¼terrechtliche Auseinandersetzung zu verlangen.</w:t>
      </w:r>
    </w:p>
    <w:p>
      <w:r>
        <w:t>3.4.3Â Â  Die restlichen zwei Drittel des VermÃ¶gens entsprechen - wiederum per AuflÃ¶sung des GÃ¼terstandes am Todestag des Ehegatten der Versicherten vom 29. Juli 1984 - grundsÃ¤tzlich dem Nachlass des verstorbenen Ehegatten (= Fr. 424'011.70).</w:t>
      </w:r>
    </w:p>
    <w:p>
      <w:r>
        <w:t>Â Â Â Â Â Â Â Â  In erbrechtlicher Hinsicht hatte die Ã¼berlebende Ehegattin nach altem Recht die WahlmÃ¶glichkeit von einem Viertel am Nachlass zu Eigentum oder der HÃ¤lfte zur Nutzniessung (Art. Â 462 aZGB). Die BeschwerdefÃ¼hrerin hat zumindest faktisch die Nutzniessung ausgeÃ¼bt. Wenn die Beschwerdegegnerin geltend macht, sie sei geradezu als EigentÃ¼merin aufgetreten (Urk. 5/3), so ist ihr entgegenzuhalten, dass zahlreiche Verwaltungs- und GeschÃ¤ftsfÃ¼hrungshandlungen auch bei blosser Nutzniessung erlaubt, ja gefordert sind (Art. 755 ff. ZGB; dazu und zur Wahl der Nutzniessung das Urteil des damaligen EidgenÃ¶ssischen Versicherungsgerichtes vom 29. November 2001 im Ã¤hnlich gelagerten Fall P 40/00, Erw. 3c.bb und cc). Diese Nutzniessung hat die BeschwerdefÃ¼hrerin bereits seit dem Tod ihres Ehegatten ausgeÃ¼bt, wobei ihr die Nachkommen weitergehend sogar die Nutzniessung am ganzen VermÃ¶gen zugestanden hatten und dies auch weiterhin tun, wie es in Ziff. 5 Abs. 1 des Erbteilungsvertrages vom 27. Oktober 2002 zwischen der Versicherten und ihren Kindern bekrÃ¤ftigt worden ist (Urk. 7/10).</w:t>
      </w:r>
    </w:p>
    <w:p>
      <w:r>
        <w:t>3.5Â Â Â Â</w:t>
      </w:r>
    </w:p>
    <w:p>
      <w:r>
        <w:t>3.5.1Â Â  Es ist im Weiteren der Frage nachzugehen, ob sich ein per 29. Juli 1994 erfolgter Verzicht auf den gÃ¼terrechtlichen Anteil im Betrag von Fr.</w:t>
      </w:r>
    </w:p>
    <w:p>
      <w:r>
        <w:t>212'005.85 auf den Anspruch auf Zusatzleistungen auswirkt. Von einem Verzicht kann nur gesprochen werden, wenn dieser ohne adÃ¤quate Gegenleistung erfolgt ist. Zu berÃ¼cksichtigen ist, dass die BeschwerdefÃ¼hrerin seit dem Tode des Ehegatten in der Liegenschaft gewohnt, teilweise Mieter aufgenommen (Urk. 7/15) und die ErtrÃ¤ge daraus sowie des Ã¼brigen VermÃ¶gens genutzt hat. Die Liegenschaft ist gemÃ¤ss Steuerinventar unbelastet, so dass keine Schuldzinsen anfielen und fÃ¼r das Wohnen hatte die BeschwerdefÃ¼hrerin nichts zu bezahlen, denn etwas anderes wird nicht geltend gemacht. Wie erwÃ¤hnt, hat die BeschwerdefÃ¼hrerin dabei entgegen der erbrechtlichen Regelung nicht nur die HÃ¤lfte der Nutzniessung inne gehabt, sondern die Ã¼brigen Erben haben ihr fÃ¼r unbefristete Zeit die volle Nutzniessung zugestanden (Urk. 7/10). Damit ist dem Verzicht auf den gÃ¼terrechtlichen Vorschlagsdrittel die Ã¼ber die erbrechtliche Regelung hinausgehende HÃ¤lfte der Nutzniessung als Abgeltung gegenÃ¼ber zu stellen.</w:t>
      </w:r>
    </w:p>
    <w:p>
      <w:r>
        <w:t>3.5.2Â Â  Es fragt sich, wie hoch diese Gegenleistung, welche sich aus dem Wohnrecht und den ErtrÃ¤gen der Wertschriften zusammensetzt, einzustufen ist. Was das Wohnrecht anbelangt, hat das Bundesgericht entschieden, dass fÃ¼r die wertmÃ¤ssige Ermittlung vom Mietwert im Zeitpunkt der EinrÃ¤umung der Nutzniessung auszugehen und dieser Mietwert alsdann zu kapitalisieren ist (BGE 122 V 399 Erw. 4). In konstanter Rechtsprechung des hÃ¶chsten Gerichts sind hierbei die Kapitalisierungstabellen der EidgenÃ¶ssischen Steuerverwaltung massgebend.</w:t>
      </w:r>
    </w:p>
    <w:p>
      <w:r>
        <w:t>Â Â Â Â Â Â Â Â  Die Beschwerdegegnerin, an welche die Sache gestÃ¼tzt auf Â§ 26 Abs. 1 des Gesetzes Ã¼ber das Sozialversicherungsgericht, GSVGer) zurÃ¼ckzuweisen ist (vgl. SVR 1995 ALV Nr. 27 S. 69), wird somit zunÃ¤chst die Gegenleistung des von der BeschwerdefÃ¼hrerin seit dem Tod des Erblassers ausgeÃ¼bten Wohnrechts zu ermitteln haben, wobei vom Mietwert per Todestag auszugehen sein wird. Als angemessen ist eine Gegenleistung zu betrachten, wenn sie sich in einer Bandbreite von rund 10 % zur Leistung bewegt (BGE 122 V 400 Erw. 5b). Sollte nicht bereits die aus dem Wohnrecht resultierende Gegenleistung in einem adÃ¤quaten VerhÃ¤ltnis zum VerzichtsvermÃ¶gen stehen, mÃ¼sste weiter untersucht werden, in welchem Ausmass die BeschwerdefÃ¼hrerin aufgrund der vollstÃ¤ndigen Nutzung des gesamten ehelichen VermÃ¶gens eine zusÃ¤tzliche Gegenleistung erhalten hat.</w:t>
      </w:r>
    </w:p>
    <w:p>
      <w:r>
        <w:t>3.5.3Â Â  Die mit der Erbteilung auf die drei Nachkommen Ã¼bertragene Liegenschaft wurde gemÃ¤ss Kaufvertrag vom 31. Juli 2003 verÃ¤ussert (Urk. 7/28). Im Erbteilungsvertrag war der BeschwerdefÃ¼hrerin die Nutzniessung auch fÃ¼r die Zukunft eingerÃ¤umt worden. Es fragt sich deshalb schliesslich, ob sie als Abgeltung bezÃ¼glich der an der Liegenschaft nicht mehr mÃ¶glichen Nutzniessung einen Anspruch am VerkaufserlÃ¶s der Liegenschaft hat.</w:t>
      </w:r>
    </w:p>
    <w:p>
      <w:r>
        <w:t>Â Â Â Â Â Â Â Â  Hierzu ist festzuhalten, dass die BeschwerdefÃ¼hrerin aus gesundheitlichen und damit aus persÃ¶nlichen GrÃ¼nden in ein Heim Ã¼bersiedeln musste. Aktenkundig ist nÃ¤mlich, dass ein selbstÃ¤ndiges Wohnen offenbar bereits seit Herbst 2001 nicht mehr mÃ¶glich war, wurde die Versicherte doch mehrere Monate im Haushalt ihrer Tochter gepflegt und scheiterte schliesslich die in Aussicht genommene LÃ¶sung, nÃ¤mlich die Aufnahme einer Freundin, welche im Haus der Versicherten gewohnt und sie gepflegt hÃ¤tte, an der notwendigen Arbeitsbewilligung (Urk. 7/15). Die BeschwerdefÃ¼hrerin ist somit nicht aus der Liegenschaft ausgezogen, weil diese verkauft werden sollte, sondern weil sie nicht mehr selbstÃ¤ndig darin wohnen konnte. Aus einer nicht mehr mÃ¶glichen und wahrgenommenen Nutzniessung ist nichts mehr in Anrechnung zu bringen und gibt es bei einem nachtrÃ¤glichen Verkauf der betreffenden Liegenschaft mithin auch nichts abzugelten.</w:t>
      </w:r>
    </w:p>
    <w:p>
      <w:r>
        <w:t>3.6Â Â Â Â Â Â Â Â  Zusammenfassend ergibt sich, dass die Beschwerde in dem Sinne gutzuheissen ist, als die Sache zum weiteren Vorgehen im Sinne von Erw. 3.5.2 an die Beschwerdegegnerin zurÃ¼ckzuweisen ist, damit sie den Anspruch auf Zusatzleistungen ab November 2002 erneut prÃ¼fe.</w:t>
      </w:r>
    </w:p>
    <w:p>
      <w:r>
        <w:t>4.Â Â Â Â Â Â  Nach stÃ¤ndiger Rechtsprechung gilt die RÃ¼ckweisung der Sache an die Verwaltung zur weiteren AbklÃ¤rung und neuen VerfÃ¼gung als vollstÃ¤ndiges Obsiegen (vgl. Urteil des EidgenÃ¶ssisches Versicherungsgerichts vom 10. Februar 2004 i.S. K., U 199/02, Erw. 6 mit Hinweis auf BGE 110 V 57 Erw. 3a; SVR 1999 IV Nr. 10 S. 28 Erw. 3), weshalb die vertretene BeschwerdefÃ¼hrerin Anspruch auf eine ProzessentschÃ¤digung hat. Diese wird ohne RÃ¼cksicht auf den Streitwert nach der Bedeutung der Streitsache, der Schwierigkeit des Prozesses und dem Mass des Obsiegens bemessen (Â§ 34 Abs. 3 GSVGer) und ist nach richterlichem Ermessen auf Fr. 2'500.-- (inklusive Barauslagen und Mehrwertsteuer) festzusetzen.</w:t>
      </w:r>
    </w:p>
    <w:p>
      <w:r>
        <w:t>Das Gericht erkennt:</w:t>
      </w:r>
    </w:p>
    <w:p>
      <w:r>
        <w:t>1.Â Â Â Â Â Â Â Â  Die Beschwerde wird in dem Sinne gutgeheissen, dass der Beschluss des Bezirksrates vom 15. November 2007 aufgehoben und die Sache an die Beschwerdegegnerin zurÃ¼ckgewiesen wird, damit sie den Anspruch auf Zusatzleistungen mit Wirkung ab 1. November 2002 im Sinne der ErwÃ¤gungen neu prÃ¼fe und darÃ¼ber entscheide.</w:t>
      </w:r>
    </w:p>
    <w:p>
      <w:r>
        <w:t>2.Â Â Â Â Â Â Â Â  Das Verfahren ist kostenlos.</w:t>
      </w:r>
    </w:p>
    <w:p>
      <w:r>
        <w:t>3.Â Â Â Â Â Â Â Â  Die Beschwerdegegnerin wird verpflichtet, der BeschwerdefÃ¼hrerin eine ProzessentschÃ¤digung von Fr. 2'500.-- (inkl. Barauslagen und MWSt) zu bezahlen.</w:t>
      </w:r>
    </w:p>
    <w:p>
      <w:r>
        <w:t>4.Â Â Â Â Â Â Â Â Â Â  Zustellung gegen Empfangsschein an:</w:t>
      </w:r>
    </w:p>
    <w:p>
      <w:r>
        <w:t>- Rechtsanwalt Dr. Beat Schelbert</w:t>
      </w:r>
    </w:p>
    <w:p>
      <w:r>
        <w:t>- Stadt Y.___</w:t>
      </w:r>
    </w:p>
    <w:p>
      <w:r>
        <w:t>- Bezirksrat Z.___</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