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ZL.2007.00021 vom 22. Juli 2009</w:t>
      </w:r>
    </w:p>
    <w:p>
      <w:r>
        <w:t>ZH Sozialversicherungsgericht, 2009-07-22, DE</w:t>
      </w:r>
    </w:p>
    <w:p>
      <w:r>
        <w:rPr>
          <w:b/>
        </w:rPr>
        <w:t xml:space="preserve">Quelle: </w:t>
      </w:r>
      <w:r>
        <w:t>https://mcp.opencaselaw.ch/entscheid/zh_sozialversicherungsgericht_ZL.2007.00021</w:t>
      </w:r>
    </w:p>
    <w:p>
      <w:r>
        <w:t>FR: ZH_SOZIALVERSICHERUNGSGERICHT ZL.2007.00021 du 22 juillet 2009</w:t>
      </w:r>
    </w:p>
    <w:p>
      <w:r>
        <w:t>IT: ZH_SOZIALVERSICHERUNGSGERICHT ZL.2007.00021 del 22 luglio 2009</w:t>
      </w:r>
    </w:p>
    <w:p>
      <w:pPr>
        <w:pStyle w:val="Heading2"/>
      </w:pPr>
      <w:r>
        <w:t>Erwägungen</w:t>
      </w:r>
    </w:p>
    <w:p>
      <w:r>
        <w:rPr>
          <w:b/>
        </w:rPr>
        <w:t>E. 3</w:t>
      </w:r>
    </w:p>
    <w:p>
      <w:r>
        <w:t>3.1Â Â Â Â  Nachdem der BeschwerdefÃ¼hrer geltend gemacht hatte, der Personenwagen Opel Vectra sei zwischenzeitlich aus dem Verkehr gezogen und durch einen VW Golf ersetzt worden, welcher mit hÃ¶chstens Fr. 1'650.-- zu bewerten sei (Urk. 5/3/2 S. 5), Ã¼bernahm die Beschwerdegegnerin die geltend gemachte Bewertung des Fahrzeugs anstelle der bisher hierfÃ¼r eingesetzten Fr. 3'200.-- und hiess die Einsprache teilweise gut (Urk. 5/3/3). Unbestritten geblieben sind die von der Beschwerdegegnerin auf Fr. 30'894.-- festgesetzten Ausgaben (Urk. 1 S. 8), wobei der Versicherte jedoch UnterstÃ¼tzungspflichten gegenÃ¼ber seiner Mutter geltend machen lÃ¤sst (Urk. 1 S. 8).</w:t>
      </w:r>
    </w:p>
    <w:p>
      <w:r>
        <w:t>Â Â Â Â Â Â Â Â  Streitig und zu prÃ¼fen bleiben indes die Fragen, inwieweit dem BeschwerdefÃ¼hrer ein fiktives Einkommen anzurechnen ist und wie es sich mit der Liegenschaft in A.___ verhÃ¤lt.</w:t>
      </w:r>
    </w:p>
    <w:p>
      <w:r>
        <w:t>3.2Â Â Â Â</w:t>
      </w:r>
    </w:p>
    <w:p>
      <w:r>
        <w:t>3.2.1Â Â  Die Beschwerdegegnerin stÃ¼tzt sich bei der Anrechnung eines hypothetischen Erwerbseinkommens auf Art. 3a Abs. 7 lit. c ELG. Danach regelt der Bundesrat unter anderem die Anrechnung von EinkÃ¼nften aus einer zumutbaren ErwerbstÃ¤tigkeit bei Teilinvaliden. GestÃ¼tzt auf diese Delegationsnorm hat er in Art. 14a ELV bestimmt, dass bei diesen Personen grundsÃ¤tzlich der Betrag als Erwerbseinkommen anzurechnen ist, den sie im massgebenden Zeitabschnitt tatsÃ¤chlich verdient haben (Abs. 1).</w:t>
      </w:r>
    </w:p>
    <w:p>
      <w:r>
        <w:t>Â Â Â Â Â Â Â Â  FÃ¼r noch nicht sechzigjÃ¤hrige Versicherte gelten gemÃ¤ss Abs. 2 jedoch folgende anzurechnende Mindesteinkommen: (...) zwei Drittel des HÃ¶chstbetrages fÃ¼r den Lebensbedarf nach Buchstabe a bei einem InvaliditÃ¤tsgrad von 60 bis unter 70 Prozent (lit. c). Ausgenommen hievon sind NichterwerbstÃ¤tige, deren InvaliditÃ¤t aufgrund von Art. 27 der Verordnung Ã¼ber die Invalidenversicherung (IVV) festgelegt wurde, und Invalide, die in einer geschÃ¼tzten WerkstÃ¤tte im Sinne von Art. 73 des Bundesgesetzes Ã¼ber die Invalidenversicherung (IVG) arbeiten (Abs. 3).</w:t>
      </w:r>
    </w:p>
    <w:p>
      <w:r>
        <w:t>Â Â Â Â Â Â Â Â  Nach der Rechtsprechung kann grundsÃ¤tzlich davon ausgegangen werden, dass es der teilinvaliden versicherten Person vermutungsweise mÃ¶glich und zumutbar ist, im Rahmen ihres von den Invalidenversicherungs-Organen festgestellten verbliebenen LeistungsvermÃ¶gens die in Art. 14a ELV festgelegten GrenzbetrÃ¤ge zu erzielen. Dies hat eine Umkehr der objektiven Beweislast zur Folge, indem bei unbewiesen gebliebener UnmÃ¶glichkeit, dieses ArbeitsvermÃ¶gen zu verwerten, das dem InvaliditÃ¤tsgrad entsprechende Erwerbseinkommen angerechnet wird (ZAK 1989 S. 572 Erw. 3c). Die gesetzliche Vermutung kann durch den Beweis des Gegenteils umgestossen werden, indem die leistungsansprechende Person auch UmstÃ¤nde geltend machen kann, welche bei der Bemessung der InvaliditÃ¤t ohne Bedeutung waren, ihr jedoch verunmÃ¶glichen, ihre theoretische RestarbeitsfÃ¤higkeit wirtschaftlich zu nutzen (BGE 117 V 156 Erw. 2c mit Hinweisen, vgl. auch BGE 117 V 202 ff.). Dazu gehÃ¶ren sÃ¤mtliche objektiven und subjektiven Besonderheiten wie Alter, Gesundheitszustand, Sprachkenntnisse, Ausbildung, bisherige TÃ¤tigkeit, konkrete Arbeitsmarktlage sowie eine allfÃ¤llige Dauer der Abwesenheit vom Berufsleben (BGE 117 V 290 Erw. 3a; AHI 2001 S. 133 Erw. 1b mit Hinweisen).</w:t>
      </w:r>
    </w:p>
    <w:p>
      <w:r>
        <w:t>3.2.2Â Â  Der BeschwerdefÃ¼hrer bezieht seit dem 1. August 2005 eine Invalidenrente gestÃ¼tzt auf einen InvaliditÃ¤tsgrad von 62 %. Bei der Ermittlung des InvaliditÃ¤tsgrades ging die Sozialversicherungsanstalt des Kantons ZÃ¼rich, IV-Stelle, davon aus, dass er in seiner angestammten TÃ¤tigkeit als GÃ¤rtner vollstÃ¤ndig arbeitsunfÃ¤hig sei, ihm indes die Verwertung einer RestarbeitsfÃ¤higkeit in einer behinderungsangepassten TÃ¤tigkeit, z.B. als Produktionsmitarbeiter oder Hilfsarbeiter fÃ¼r leichte TÃ¤tigkeiten im Ausmass von 50% zumutbar sei (Urk. 5/3/16/2). Im Zeugnis vom 13. Dezember 2006 bescheinigte der Rheumatologe Dr. med. E.___ dem BeschwerdefÃ¼hrer zwar eine vollstÃ¤ndige ArbeitsunfÃ¤higkeit, doch bezieht sich diese EinschÃ¤tzung auf eine kÃ¶rperlich belastende Arbeit. Das vorgelegte Ã¤rztliche Attest steht damit mit der Aktenlage in Einklang, geht doch die Invalidenversicherung selber davon aus, dass dem BeschwerdefÃ¼hrer die angestammte TÃ¤tigkeit als GÃ¤rtner, welche als schwere Arbeit zu bezeichnen ist, nicht mehr zumutbar ist.</w:t>
      </w:r>
    </w:p>
    <w:p>
      <w:r>
        <w:t>Â Â Â Â Â Â Â Â  Mit Bezug auf die invaliditÃ¤tsbedingte BeeintrÃ¤chtigung der ErwerbsfÃ¤higkeit haben sich die EL-Organe und Sozialversicherungsgerichte grundsÃ¤tzlich an die InvaliditÃ¤tsbemessung durch die Invalidenversicherung zu halten (Urteil des Bundesgerichts in Sachen F. und Stadt D. vom 11. Mai 2009, 9C_190/2009 und 9C_191/2009; Erw. 3.2 mit Hinweis auf das Urteil des Bundesgerichts in Sachen B. vom 6. Februar 2008; 8C_172/2007; Erw. 7.1). Ausgehend von einer zumutbarerweise verwertbaren RestarbeitsfÃ¤higkeit im Ausmass von 50 %, ist es nicht zu beanstanden, wenn die Beschwerdegegnerin von einem hypothetischen Einkommen von Fr. 7'173.-- im Jahr ausgegangen ist. Umgerechnet auf den Monat resultieren EinkÃ¼nfte im Betrag von Fr. 597.75, so dass vom Versicherten ein sehr geringer Arbeitseinsatz von hÃ¶chstens ein paar Stunden monatlich verlangt wird, was ihm angesichts einer 50%igen RestarbeitsfÃ¤higkeit ohne weiteres zugemutet werden kann.</w:t>
      </w:r>
    </w:p>
    <w:p>
      <w:r>
        <w:t>Â Â Â Â Â Â Â Â  In diesem Punkt ist die Beschwerde abzuweisen.</w:t>
      </w:r>
    </w:p>
    <w:p>
      <w:r>
        <w:t>3.3Â Â Â Â</w:t>
      </w:r>
    </w:p>
    <w:p>
      <w:r>
        <w:t>3.3.1Â Â  Die Beschwerdegegnerin geht gestÃ¼tzt auf die vom BeschwerdefÃ¼hrer in der Anmeldung zum Leistungsbezug vom 22. August 2006 gemachten Angaben (Urk. 5/3/33 Ziff. 15), welche er am 6. September 2006 prÃ¤zisierte (Urk. 5/3/27), davon aus, dass er EigentÃ¼mer eines in A.___ gelegenen GrundstÃ¼cks ist (Urk. 5/3/3 S. 2). Dieser Annahme steht jedoch die vom BeschwerdefÃ¼hrer vorgelegte beglaubigte Abschrift vom 25. Dezember 2006 aus dem Grundbuch der Gemeinde C.___, Kastralgemeinde D.___, entgegen, wonach sein zwischenzeitlich verstorbener Vater, F.___, nach wie vor als EigentÃ¼mer sÃ¤mtlicher, in verschiedenen Ortschaften gelegenen GrundstÃ¼cke eingetragen ist (Urk. 5/3/4/5). Nach den vom ___ Konsulat gemachten Angaben (Urk. 1 S. 4 f.) erbt nach B.___ Recht, welches fÃ¼r die erbrechtliche Frage anwendbar ist, die Ã¼berlebende Ehefrau den gesamten Nachlass; die Nachkommen - fÃ¼nf Kinder (Urk. 5/3/5) - erben erst nach dem Tod des zweiten Elternteils. Da die Mutter des Versicherten noch lebt, steht ihm grundsÃ¤tzlich an den GrundstÃ¼cken und Liegenschaften kein Eigentum zu (vgl. auch die BestÃ¤tigung vom 17. November 2006; Urk. 5/3/4/4).</w:t>
      </w:r>
    </w:p>
    <w:p>
      <w:r>
        <w:t>3.3.2Â Â  Zu prÃ¼fen ist indes im Weiteren, wie es sich mit dem vom Vater noch zu seinen Lebzeiten begonnenen Hausbau verhÃ¤lt. Nach der Darstellung des BeschwerdefÃ¼hrers beabsichtigte der Vater, auf seinem Land fÃ¼r ihn, den BeschwerdefÃ¼hrer, aber auch fÃ¼r die andern Kinder (Urk. 1 S. 4 Ziff. 10), ein neues Haus zu bauen. Noch bevor das Haus fertig gebaut war verstarb der Vater, wobei aufgrund der Aktenlage nicht klar erstellt ist, in welchem Stadium das Bauvorhaben beim Tod des Vaters war (Urk. 1 S. 5 Ziff. 15). Der Versicherte entschloss sich jedenfalls, das vom Vater fÃ¼r ihn zur Nutzung geplante GebÃ¤ude mit eigenen finanziellen Mitteln zusammen mit seiner Ehefrau fertigzustellen (Urk. 1 S. 4 Ziff. 10). Beim Haus, das offensichtlich aber immer noch nicht ganz fertig gebaut ist, handelt es sich um ein zweistÃ¶ckiges Haus mit vier Zimmern, KÃ¼che und Bad (Urk. 5/3/27).</w:t>
      </w:r>
    </w:p>
    <w:p>
      <w:r>
        <w:t>Â Â Â Â Â Â Â Â  GemÃ¤ss den von der Caritas herausgegebenen und vom Fachverband fÃ¼r Zusatzleistungen anerkannten Richtlinien, welche sich auf Erfahrungswerte im Zusammenhang mit dem Wiederaufbau von Liegenschaften im Ausland beziehen, betragen die Materialkosten fÃ¼r ein einfaches einstÃ¶ckiges Haus in A.___ ungefÃ¤hr 10'000 Schweizerfranken (Urk. 5/3/28 sowie Urk. 5/6/1). Da es sich um ein zweistÃ¶ckiges GebÃ¤ude handelt, jedoch unklar ist, in welchem Stadium des Bauvorhabens der Vater des Versicherten starb, ist zu seinen Gunsten von investierten Mitteln im Betrag von Fr. 20'000.-- fÃ¼r die zwei Stockwerke auszugehen. Dass der BeschwerdefÃ¼hrer deshalb die Frage nach Eigentum beziehungsweise nach der Beteiligung an einer Liegenschaft bejaht hat (Urk. 5/3/23), ist unter den gegebenen UmstÃ¤nden, wonach er nicht unwesentliche finanzielle Mittel investiert hat, nachvollziehbar. Da in den Akten keinerlei Anhaltspunkte vorliegen oder Belege eingereicht worden sind, welche den Schluss zuliessen, dass die Ehegatten X.___ infolge der Fertigstellung des Hauses aus eigenen Mitteln Eigentum daran erworben hÃ¤tten, ist der Wert der getÃ¤tigten Investitionen gemÃ¤ss den Richtlinien der Caritas (Urk. 5/3/28) auch nicht zu verdoppeln (Urk. 5/3/15 S. 2). Vielmehr ist davon auszugehen, dass dem BeschwerdefÃ¼hrer nach dem Tod der Mutter gegenÃ¼ber dem Nachlass allenfalls eine Ersatzforderung zusteht. Gleiches hat auch gegenÃ¼ber der von ihm getrenntlebenden Ehefrau zu gelten, denn dafÃ¼r, dass die gerichtlich angeordnete GÃ¼tertrennung (vgl. Urk. 5/3/21) vollzogen worden wÃ¤re, bestehen keine Anhaltspunkte.</w:t>
      </w:r>
    </w:p>
    <w:p>
      <w:r>
        <w:t>Â Â Â Â Â Â Â Â  In WÃ¼rdigung der gesamten UmstÃ¤nde kann nicht davon ausgegangen werden, dass dem BeschwerdefÃ¼hrer in A.___ ein GrundstÃ¼ck im Wert von Fr. 60'000.-- (Verkehrswert von Land und GebÃ¤ude) gehÃ¶rt. Eine Beteiligung an einer Erbschaft hat der Versicherte ausdrÃ¼cklich verneint, was mit dem Umstand, dass die Mutter beim Tod des Vaters alles geerbt hat, Ã¼bereinstimmt (Urk. 5/3/23 Ziff. 13). Die Anrechnung von VermÃ¶genswerten fÃ¤llt deshalb ausser Acht. Die vom BeschwerdefÃ¼hrer und seiner Frau in die Fertigstellung des Hauses investierten Mittel kÃ¶nnten allenfalls als VerzichtsvermÃ¶gen betrachtet werden, doch kann diese Frage angesichts des unter der Freigrenze von Fr. 25'000.-- liegenden Betrags offen gelassen werden. Steht dem BeschwerdefÃ¼hrer kein Eigentum an der erwÃ¤hnten Liegenschaft zu, so entfÃ¤llt auch die Anrechnung von Fr. 600.-- fÃ¼r Liegenschaftenunterhalt.</w:t>
      </w:r>
    </w:p>
    <w:p>
      <w:r>
        <w:t>3.3.3Â Â  AktenmÃ¤ssig ist demnach erstellt, dass der Vater noch zu seinen Lebzeiten mit dem Bau des Hauses begann, um dieses dann dem BeschwerdefÃ¼hrer zur Nutzung zu Ã¼berlassen (Urk. 1 S. 4 Ziff. 10 und 14). Da das Haus in der Zwischenzeit vom BeschwerdefÃ¼hrer und seiner Ehefrau so weit fertig gestellt wurde, dass es bewohnbar ist (etwas anderes lÃ¤sst sich den Akten jedenfalls nicht entnehmen), besteht die MÃ¶glichkeit, dass das leerstehende Haus vermietet werden kann. Aus der Vermietung der Liegenschaft fliesst dem BeschwerdefÃ¼hrer ein Ertrag zu, der bei der Berechnung der Zusatzleistungen als Einkommen anrechenbar ist. Ermessensweise ist in BerÃ¼cksichtigung der gesamten UmstÃ¤nde wie GrÃ¶sse der Liegenschaft und Umgebung von einem minimalen monatlichen Mietzinsertrag von Fr. 150.-- auszugehen. Daraus resultieren dem BeschwerdefÃ¼hrer anrechenbare EinkÃ¼nfte von mindestens Fr. 1'800.-- im Jahr.</w:t>
      </w:r>
    </w:p>
    <w:p>
      <w:r>
        <w:t>3.3.4Â Â  Der VollstÃ¤ndigkeit halber sei darauf hingewiesen, dass der BeschwerdefÃ¼hrer vorbringen lÃ¤sst, seine Mutter mit durchschnittlich Fr. 150.-- im Monat zu unterstÃ¼tzen (Urk. 1 S. 8). Diese Auslagen wurden nicht belegt und haben daher unberÃ¼cksichtigt zu bleiben.</w:t>
      </w:r>
    </w:p>
    <w:p>
      <w:r>
        <w:t>3.4Â Â Â Â  Zusammenfassend ergibt sich demnach, dass der BeschwerdefÃ¼hrer Ã¼ber kein die Freigrenze von Fr. 25'000.-- Ã¼bersteigendes VermÃ¶gen verfÃ¼gt, dass jedoch von anrechenbaren jÃ¤hrlichen EinkÃ¼nften im Betrag von Fr. 30'381.-- auszugehen ist (nÃ¤mlich Fr. 7'173.-- hypothetisches Erwerbseinkommen, Fr. 14'688.-- laufende IV-Rente, Fr. 6'360.-- Rente aus beruflicher Vorsorge, Fr. 360.-- PrÃ¤mienverbilligung und Fr. 1'800.-- Mietertrag). Diesen Einnahmen stehen Ausgaben in der HÃ¶he von Fr. 30'294.-- gegenÃ¼ber (Fr. 30'894.-- ./. Fr. 600.-- Liegenschaftenunterhalt). Aus der GegenÃ¼berstellung von anrechenbaren Einnahmen und Ausgaben ergibt sich ein Ãberschuss, weshalb kein Anspruch auf Zusatzleistungen besteht.</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FORTUNA Rechtsschutz-Versicherungs-Gesellschaft</w:t>
      </w:r>
    </w:p>
    <w:p>
      <w:r>
        <w:t>- Stadt Z.___</w:t>
      </w:r>
    </w:p>
    <w:p>
      <w:r>
        <w:t>- Bezirksrat Y.___</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