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ZL.2006.00043 vom 29. Februar 2008</w:t>
      </w:r>
    </w:p>
    <w:p>
      <w:r>
        <w:t>ZH Sozialversicherungsgericht, 2008-02-29, DE</w:t>
      </w:r>
    </w:p>
    <w:p>
      <w:r>
        <w:rPr>
          <w:b/>
        </w:rPr>
        <w:t xml:space="preserve">Quelle: </w:t>
      </w:r>
      <w:r>
        <w:t>https://mcp.opencaselaw.ch/entscheid/zh_sozialversicherungsgericht_ZL.2006.00043</w:t>
      </w:r>
    </w:p>
    <w:p>
      <w:r>
        <w:t>FR: ZH_SOZIALVERSICHERUNGSGERICHT ZL.2006.00043 du 29 février 2008</w:t>
      </w:r>
    </w:p>
    <w:p>
      <w:r>
        <w:t>IT: ZH_SOZIALVERSICHERUNGSGERICHT ZL.2006.00043 del 29 febbraio 2008</w:t>
      </w:r>
    </w:p>
    <w:p>
      <w:pPr>
        <w:pStyle w:val="Heading2"/>
      </w:pPr>
      <w:r>
        <w:t>Erwägungen</w:t>
      </w:r>
    </w:p>
    <w:p>
      <w:r>
        <w:rPr>
          <w:b/>
        </w:rPr>
        <w:t>E. 4</w:t>
      </w:r>
    </w:p>
    <w:p>
      <w:r>
        <w:t>4.1Â Â Â Â  Die Beschwerdegegnerin machte zunÃ¤chst geltend, beim vereinbarten (tiefen) Ãbernahmewert von Fr. 218'000.-- sei zu berÃ¼cksichtigen, dass der Sohn wÃ¤hrend ihrer Besitzesdauer, insbesondere in der Zeit von 1990 bis 1994, weitere Leistungen in Form von Renovationsarbeiten im Betrag von Fr. 250'000.-- an der Liegenschaft erbracht habe. Diese wertvermehrenden Investitionen seien als Leistungen des Sohnes anzurechnen und beim Verkehrswert zu berÃ¼cksichtigen (Urk. 10 S. 4; vgl. Urk. 6/4/2 S. 4). Der Sohn habe somit insgesamt Leistungen von Ã¼ber Fr. 400'000.-- fÃ¼r den Erwerb der Liegenschaft erbracht.</w:t>
      </w:r>
    </w:p>
    <w:p>
      <w:r>
        <w:t>Â Â Â Â Â Â Â Â  Dass der Sohn die behaupteten Renovationsarbeiten entgeltlich geleistet habe, hat die Beschwerdegegnerin weder behauptet noch substantiiert dargetan. Insbesondere hat sie weder dargetan noch belegt, dass der Sohn ihr fÃ¼r seine Arbeiten Rechnung gestellt habe. Die als Belege eingereichten Fotos erbringen hiefÃ¼r keinen Beweis. Damit ist nicht erstellt, dass die behaupteten Renovationsarbeiten des Sohnes entgeltlich erfolgten. Dass eine Forderung des Sohnes bestanden hÃ¤tte, die - nebst dem Ãbernahmepreis - mit der Hingabe der Liegenschaft zu decken war, kann damit nicht angenommen werden. Es ist damit davon auszugehen, dass der Sohn die Liegenschaft zum Ãbernahmewert von Fr. 218'000.-- erworben hat. In dem darÃ¼ber hinausgehenden Betrag des Verkehrswertes der Liegenschaft liegt im Umfang des ihr zustehenden Anteils von 5/8 ein Verzicht der Beschwerdegegnerin auf VermÃ¶genswerte vor.Â</w:t>
      </w:r>
    </w:p>
    <w:p>
      <w:r>
        <w:t>4.2Â Â Â Â  Streitig und prÃ¼fen ist sodann, welchen Verkehrswert die Liegenschaft im Zeitpunkt der Ãbertragung an den Sohn am 23. November 1994 hatte.</w:t>
      </w:r>
    </w:p>
    <w:p>
      <w:r>
        <w:t>Â Â Â Â Â Â Â Â  Eine SchÃ¤tzung des Verkehrswertes der Liegenschaft aus dem Jahr 1994 liegt nicht vor. Der Bezirksrat ging im angefochtenen Beschluss gestÃ¼tzt auf die Angaben der GebÃ¤udeversicherung, wonach die SchÃ¤tzung des Wohnhauses im Jahr 1988 einen Wert von Fr. 400'000.-- ergeben hatte, davon aus, dass der Verkehrswert der Liegenschaft mit Fr. 400'000.-- angenommen werden kÃ¶nne (Urk. 2 S. 5 f., vgl. Urk. 6/4/3/25, Urk. 6/4/3/26/3). Hierzu ist festzustellen, dass der GebÃ¤udeversicherungswert 1988 weder in zeitlicher Hinsicht (1988 statt 1994) noch in gegenstÃ¤ndlicher Hinsicht (nur GebÃ¤udewert statt GebÃ¤ude- und Landwert) mit dem Verkehrswert der Liegenschaft 1994 Ã¼bereinstimmt. Aus diesen GrÃ¼nden kann er nicht als Ersatzwert fÃ¼r den Verkehrswert der Liegenschaft im Jahr 1994 herangezogen werden.</w:t>
      </w:r>
    </w:p>
    <w:p>
      <w:r>
        <w:t>Â Â Â Â Â Â Â Â  Was die von der Beschwerdegegnerin eingereichte - zeitlich im Ãbrigen nicht aktuelle - VerkehrswertschÃ¤tzung von G.___ vom 28. November 1989 angeht, kann darauf nicht abgestellt werden, weil sie den Anforderungen an eine Expertise nicht in vollem Umfang genÃ¼gt, insbesondere nicht schlÃ¼ssig ist (Urk. 6/4/3/21). So wurde der mit Fr. 275'000.-- bis Fr. 300'000.-- bemessene Verkehrswert offensichtlich zu tief veranschlagt, da bereits der Realwert mit Fr. 320'000.-- angegeben wurde und von einem zusÃ¤tzlichen Liebhaberwert die Rede war.</w:t>
      </w:r>
    </w:p>
    <w:p>
      <w:r>
        <w:t>Â Â Â Â Â Â Â Â  Was schliesslich den Steuerwert der Liegenschaft im Jahr 1997 betrifft, auf welchen sich die DurchfÃ¼hrungsstelle im Einspracheentscheid vom 7. Juni 2006 berief, wurde dieser Wert nicht aufgrund einer individuellen SchÃ¤tzung bemessen, sondern schematisch formelmÃ¤ssig ermittelt, so dass bereits aus diesem Grund nicht darauf abgestellt werden kann (Urk. 6/4/3/4, Urk. 6/4/3/26/2).</w:t>
      </w:r>
    </w:p>
    <w:p>
      <w:r>
        <w:t>Â Â Â Â Â Â Â Â  Unter diesen UmstÃ¤nden ist es unerlÃ¤sslich, dass die DurchfÃ¼hrungsstelle, an welche die Sache zurÃ¼ckzuweisen ist, den Verkehrswert der Liegenschaft im Zeitpunkt der VerÃ¤usserung an den Sohn per 23. November 1994 durch eine sachverstÃ¤ndige Person schÃ¤tzen lÃ¤sst. Diese wird den Verkehrswert dabei unter Einschluss der bis zur VerÃ¤usserung erfolgten Renovationsarbeiten des Sohnes zu ermitteln haben.</w:t>
      </w:r>
    </w:p>
    <w:p>
      <w:r>
        <w:t>4.3Â Â Â Â  Steht der Verkehrswert der Liegenschaft fest, ist das der Beschwerdegegnerin per 23. November 1994 anzurechnende VerzichtsvermÃ¶gen nach Massgabe von Erw. 3.2 festzusetzen. Der so festgelegte Wert ist sodann nach Art. 17a ELV um jÃ¤hrlich Fr. 10'000.-- zu vermindern, insgesamt damit um Fr. 100'000.-- (fÃ¼r die Zeit vom 1. Januar 1995 bis 31. Dezember 2004). Der danach verbleibende Betrag ist als VerzichtsvermÃ¶gen in die Berechnung der Zusatzleistungen miteinzubeziehen. Die Ã¼brigen Positionen, wie sie im angefochtenen Beschluss unter Hinweis auf den Einspracheentscheid der DurchfÃ¼hrungsstelle vom 7. Juni 2006 festgelegt wurden, sind unbestritten (vgl. Urk. 2, Urk. 6/4/3/4). Es wird Sache der DurchfÃ¼hrungsstelle sein, den Zusatzleistungsanspruch der Beschwerdegegnerin auf dieser Grundlage neu zu berechnen.</w:t>
      </w:r>
    </w:p>
    <w:p>
      <w:r>
        <w:t>5.Â Â Â Â Â Â  Der angefochtene Beschluss des Bezirksrates vom 26. Oktober 2006 (Dispositiv Ziffer I und Ziffer IV) ist damit aufzuheben und die Sache ist an die DurchfÃ¼hrungsstelle zurÃ¼ckzuweisen, damit sie im Sinne der ErwÃ¤gungen verfahre und hernach Ã¼ber den Anspruch der Beschwerdegegnerin auf Zusatzleistungen neu befinde. In diesem Sinne ist die Beschwerde gutzuheissen.</w:t>
      </w:r>
    </w:p>
    <w:p>
      <w:r>
        <w:t>Â Â Â Â Â Â Â Â  Bei diesem Ausgang des Verfahrens steht der Beschwerdegegnerin keine ProzessentschÃ¤digung zu.</w:t>
      </w:r>
    </w:p>
    <w:p>
      <w:r>
        <w:t>Â Â Â Â Â Â Â Â</w:t>
      </w:r>
    </w:p>
    <w:p>
      <w:r>
        <w:t>Das Gericht erkennt:</w:t>
      </w:r>
    </w:p>
    <w:p>
      <w:r>
        <w:t>1.Â Â Â Â Â Â Die Beschwerde wird in dem Sinne gutheissen, dass der angefochtene Beschluss des Bezirksrates vom 26. Oktober 2006 (Dispositiv Ziffer I und Ziffer IV) aufgehoben und die Sache an die BeschwerdefÃ¼hrerin zurÃ¼ckgewiesen wird, damit sie im Sinne der ErwÃ¤gungen verfahre und hernach Ã¼ber den Anspruch der Beschwerdegegnerin auf Zusatzleistungen neu befinde.Â</w:t>
      </w:r>
    </w:p>
    <w:p>
      <w:r>
        <w:t>2.Â Â Â Â Â Â Â Â  Das Verfahren ist kostenlos.</w:t>
      </w:r>
    </w:p>
    <w:p>
      <w:r>
        <w:t>3.Â Â Â Â Â Â Â Â  Zustellung gegen Empfangsschein an:</w:t>
      </w:r>
    </w:p>
    <w:p>
      <w:r>
        <w:t>- Bezirksrat O.___</w:t>
      </w:r>
    </w:p>
    <w:p>
      <w:r>
        <w:t>- Rechtsanwalt Dr. Peter Stadler</w:t>
      </w:r>
    </w:p>
    <w:p>
      <w:r>
        <w:t>- Rechtsanwalt Dr. Pierre Heusser</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