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ZL.2006.00026 vom 24. Dezember 2007</w:t>
      </w:r>
    </w:p>
    <w:p>
      <w:r>
        <w:t>ZH Sozialversicherungsgericht, 2007-12-24, DE</w:t>
      </w:r>
    </w:p>
    <w:p>
      <w:r>
        <w:rPr>
          <w:b/>
        </w:rPr>
        <w:t xml:space="preserve">Quelle: </w:t>
      </w:r>
      <w:r>
        <w:t>https://mcp.opencaselaw.ch/entscheid/zh_sozialversicherungsgericht_ZL.2006.00026</w:t>
      </w:r>
    </w:p>
    <w:p>
      <w:r>
        <w:t>FR: ZH_SOZIALVERSICHERUNGSGERICHT ZL.2006.00026 du 24 décembre 2007</w:t>
      </w:r>
    </w:p>
    <w:p>
      <w:r>
        <w:t>IT: ZH_SOZIALVERSICHERUNGSGERICHT ZL.2006.00026 del 24 dicembre 2007</w:t>
      </w:r>
    </w:p>
    <w:p>
      <w:pPr>
        <w:pStyle w:val="Heading2"/>
      </w:pPr>
      <w:r>
        <w:t>Erwägungen</w:t>
      </w:r>
    </w:p>
    <w:p>
      <w:r>
        <w:rPr>
          <w:b/>
        </w:rPr>
        <w:t>E. 1</w:t>
      </w:r>
    </w:p>
    <w:p>
      <w:r>
        <w:t>1.1Â Â Â Â  GemÃ¤ss Art. 3a Abs. 1 des Bundesgesetzes Ã¼ber ErgÃ¤nzungsleistungen zur AHV und IV (ELG) hat die jÃ¤hrliche ErgÃ¤nzungsleistung dem Betrag zu entsprechen, um den die anerkannten Ausgaben die anrechenbaren Einnahmen Ã¼bersteigen. GemÃ¤ss Art. 3c Abs. 1 lit. g ELG sind als Einnahmen unter anderem EinkÃ¼nfte anzurechnen, auf die verzichtet worden ist.</w:t>
      </w:r>
    </w:p>
    <w:p>
      <w:r>
        <w:t>Â Â Â Â Â Â Â Â  Nach der bundesgerichtlichen Rechtsprechung hat sich die geschiedene Frau nicht die tatsÃ¤chlich geleisteten, sondern die vereinbarten oder gerichtlich zugesprochenen UnterhaltsbeitrÃ¤ge des frÃ¼heren Ehemannes anrechnen zu lassen, solange deren objektive Uneinbringlichkeit nicht erstellt ist. Uneinbringlichkeit der geschuldeten UnterhaltsbeitrÃ¤ge kann in der Regel erst angenommen werden, wenn sÃ¤mtliche rechtlichen MÃ¶glichkeiten zu deren ErhÃ¤ltlichmachung erschÃ¶pft sind (ZAK 1992 S. 257 Erw. 2a mit Hinweisen). Von dieser Regel kann abgewichen und Uneinbringlichkeit der UnterhaltsbeitrÃ¤ge auch bei Fehlen rechtlicher Schritte angenommen werden, wenn klar ausgewiesen ist, dass der Unterhaltspflichtige nicht in der Lage ist, seinen Zahlungsverpflichtungen nachzukommen. Dieser Nachweis kann insbesondere mittels amtlicher Bescheinigungen (z.B. der SteuerveranlagungsbehÃ¶rde oder des Betreibungsamtes) Ã¼ber die Einkommens- und VermÃ¶gensverhÃ¤ltnisse des Unterhaltspflichtigen erbracht werden (BGE 120 V 442).</w:t>
      </w:r>
    </w:p>
    <w:p>
      <w:r>
        <w:t>1.2Â Â Â Â  Das Bundesgericht hat in konstanter Rechtsprechung gestÃ¼tzt auf Art. 3 Abs. 1 lit. a, Art. 3a Abs. 2 ELG und Art. 23 der Verordnung Ã¼ber ErgÃ¤nzungsleistungen zur AHV und IV (ELV) erkannt, in Anbetracht der formell-gesetzlichen Ausgestaltung der ErgÃ¤nzungsleistung als einer auf das Kalenderjahr bezogenen Versicherung kÃ¶nne eine VerfÃ¼gung darÃ¼ber in zeitlicher Hinsicht von vornherein nur fÃ¼r ein Kalenderjahr RechtsbestÃ¤ndigkeit entfalten; im Rahmen der jÃ¤hrlichen ÃberprÃ¼fung kÃ¶nnen deshalb die Grundlagen zur Berechnung der ErgÃ¤nzungsleistung ohne Bindung an frÃ¼her berÃ¼cksichtigte Berechnungsfaktoren und unabhÃ¤ngig allfÃ¤lliger wÃ¤hrend der Bemessungsdauer mÃ¶glicher RevisionsgrÃ¼nde (Art. 25 ELV) von Jahr zu Jahr neu festgelegt werden (BGE 128 V 39, Urteil des EidgenÃ¶ssischen Versicherungsgerichts in Sachen M. vom 21. MÃ¤rz 2002, P 45/01).Â</w:t>
      </w:r>
    </w:p>
    <w:p>
      <w:r>
        <w:rPr>
          <w:b/>
        </w:rPr>
        <w:t>E. 2</w:t>
      </w:r>
    </w:p>
    <w:p>
      <w:r>
        <w:t>2.1Â Â Â Â  Streitig und zu prÃ¼fen ist der Anspruch der BeschwerdefÃ¼hrerin auf ErgÃ¤nzungsleistungen ab 1. November 2005. Dabei steht die Frage im Vordergrund, ob die DurchfÃ¼hrungsstelle die Unterhaltsrente, auf welche die BeschwerdefÃ¼hrerin am 14. Juni 1994 vertraglich verzichtet hat, zu Recht gestÃ¼tzt auf Art. 3c Abs. 1 lit. g ELG als Einkommen angerechnet hat. Diese Frage ist nachfolgend zu prÃ¼fen.Â</w:t>
      </w:r>
    </w:p>
    <w:p>
      <w:r>
        <w:t>2.2Â Â Â Â  Der Bezirksrat fÃ¼hrte im angefochtenen Beschluss vom 18. April 2006 aus, in AbÃ¤nderung des Scheidungsurteils habe die BeschwerdefÃ¼hrerin am 14. Juni 1994 mit ihrem geschiedenen Ehemann vereinbart, dass die Unterhaltsrente mit sofortiger Wirkung dahinfalle und kÃ¼nftig nicht mehr geschuldet sei. Als Grund fÃ¼r den Verzicht sei in der Vereinbarung eine dauernde und massive Verschlechterung der wirtschaftlichen VerhÃ¤ltnisse des Rentenverpflichteten erwÃ¤hnt worden. Den Akten der DurchfÃ¼hrungsstelle kÃ¶nne nun aber kein einziger Beleg Ã¼ber seine damaligen Einkommens- und VermÃ¶gensverhÃ¤ltnisse entnommen werden. Die Uneinbringlichkeit der Unterhaltsrente sei damit nicht erstellt. Die BeschwerdefÃ¼hrerin habe damit ohne Not auf die Unterhaltsrente verzichtet. Infolgedessen habe die DurchfÃ¼hrungsstelle die Unterhaltsrente zu Recht als Einkommen angerechnet (Urk. 2).Â</w:t>
      </w:r>
    </w:p>
    <w:p>
      <w:r>
        <w:t>Â Â Â Â Â Â Â Â  Die BeschwerdefÃ¼hrerin machte dagegen geltend, es sei erstellt, dass der geschiedene Ehemann seit dem Zeitpunkt der Unterzeichung der Verzichtsvereinbarung im Juni 1994 bis heute nicht in der Lage gewesen sei, die Unterhaltsrente zu bezahlen (Urk. 1, Urk. 17). Bei der erstmaligen Zusprechung der Zusatzleistungen im Juni 1994 sei die DurchfÃ¼hrungsstelle nicht nur im Besitz des Scheidungsurteils und der Verzichtsvereinbarung vom 14. Juni 1994, sondern auch im Besitz der fÃ¼r den Nachweis der Uneinbringlichkeit der Unterhaltsrente nÃ¶tigen Unterlagen gewesen (Urk. 1 S. 6). Wenn diese Belege Ã¼ber die damalige Uneinbringlichkeit heute nicht mehr vorhanden seien, dÃ¼rfe ihr daraus kein Nachteil erwachsen. Im Ãbrigen gehe auch aus ihren im Beschwerdeverfahren neu eingereichten Unterlagen, nÃ¤mlich dem Schreiben des geschiedenen Ehemannes vom 26. Oktober 2007 sowie dem Auszug aus der AHV-RentenverfÃ¼gung bzw. der darin aufgefÃ¼hrten Berechnung seiner AHV-Rente hervor, dass er seit 1994 bis heute tatsÃ¤chlich ausserstande gewesen sei, die Unterhaltsrente zu bezahlen (Urk. 17, Urk. 18/1-2).Â</w:t>
      </w:r>
    </w:p>
    <w:p>
      <w:r>
        <w:t>2.3Â Â Â Â  Die DurchfÃ¼hrungsstelle hat die Zusatzleistungen erst ab 1. November 2005 und somit ex nunc gestÃ¼tzt auf Art. 3 Abs. 1 lit. a, Art. 3a Abs. 2 ELG und Art. 23 ELV neu und daher ohne Bindung an frÃ¼her berÃ¼cksichtigte Berechnungsfaktoren und unabhÃ¤ngig allfÃ¤lliger wÃ¤hrend der Bemessungsdauer mÃ¶glicher RevisionsgrÃ¼nde (Art. 25 ELV) festgelegt, wobei sie dies nach dem Gesagten (ErwÃ¤gung 1.2 oben) ohne WiedererwÃ¤gungs- oder RevisionsgrÃ¼nde tun konnte.</w:t>
      </w:r>
    </w:p>
    <w:p>
      <w:r>
        <w:t>Â Â Â Â Â Â Â Â  GemÃ¤ss der ebenfalls oben (ErwÃ¤gung 1.1) zitierten Rechtsprechung hatte die BeschwerdefÃ¼hrerin im damaligen Zeitpunkt, also 1994, als sie um Ausrichtung von Zusatzleistungen ersuchte, die objektive Uneinbringlichkeit der ihr 17 Jahre vorher zugesprochenen und bis dahin auch bezahlten Unterhaltsrente des geschiedenen Ehemannes zu behaupten. Die PrÃ¼fung, ob diese Uneinbringlichkeit tatsÃ¤chlich gegeben war, oblag demgegenÃ¼ber der DurchfÃ¼hrungsstelle. Sie hatte abzuklÃ¤ren, ob tatsÃ¤chlich eine "dauernde und massive Verschlechterung der wirtschaftlichen VerhÃ¤ltnisse des Rentenverpflichteten" eingetreten und der Abschluss der fraglichen Vereinbarung gerechtfertigt war. Der Regelfall, in dem erst die Uneinbringlichkeit der geschuldeten UnterhaltsbeitrÃ¤ge angenommen werden kann, nÃ¤mlich wenn sÃ¤mtliche rechtlichen MÃ¶glichkeiten zu deren ErhÃ¤ltlichmachung erschÃ¶pft sind, fÃ¤llt hier ausser Betracht. Uneinbringlichkeit der UnterhaltsbeitrÃ¤ge konnte aber ausnahmsweise - bei Fehlen rechtlicher Schritte - auch angenommen werden, wenn klar ausgewiesen war, dass der frÃ¼here Ehemann der Versicherten nicht in der Lage war, seinen Zahlungsverpflichtungen nachzukommen (ErwÃ¤gung 1.1 oben). Diese PrÃ¼fung hat die DurchfÃ¼hrungsstelle seinerzeit anhand des Scheidungsurteils und der AbÃ¤nderungsvereinbarung augenscheinlich vorgenommen, wie es deren damaliger Leiter, J.___, gegenÃ¼ber dem Gericht ausdrÃ¼cklich schriftlich bestÃ¤tigt hat. Ferner hat J.___ klar ausgefÃ¼hrt, es mÃ¼sse so gewesen sein, dass er die Uneinbringlichkeit der Unterhaltsrente als gegeben erachtet habe (Urk. 13 S. 3 f.).</w:t>
      </w:r>
    </w:p>
    <w:p>
      <w:r>
        <w:t>Â Â Â Â Â Â Â Â  Offensichtlich stufte die DurchfÃ¼hrungsstelle die Uneinbringlichkeit der Unterhaltsrente nicht nur im damaligen Zeitpunkt als gegeben ein, denn sie verzichtete in den nachfolgenden Jahren weiterhin, die Rente im Sinne eines Verzichtseinkommens anzurechnen. Erst die Intervention des kantonalen Sozialamtes fÃ¼hrte die DurchfÃ¼hrungsstelle ab 1. November 2005 zu einer solchen Anrechnung. Daraus ist zusammenfassend zu schliessen, dass die Beschwerdegegnerin 1994 die ihr vorgelegte Vereinbarung Ã¼ber den Verzicht der BeschwerdefÃ¼hrerin auf die Unterhaltsrente geprÃ¼ft und es als klar ausgewiesen erachtet hat, dass der Unterhaltspflichtige damals und weiterhin nicht in der Lage war, seinen Zahlungsverpflichtungen nachzukommen (ErwÃ¤gung 1.1 oben).</w:t>
      </w:r>
    </w:p>
    <w:p>
      <w:r>
        <w:t>2.4Â Â Â Â  Nun wurde zwar festgehalten, dass die DurchfÃ¼hrungsstelle an ihren seinerzeitigen ersten Entscheid und die nachfolgenden VerfÃ¼gungen, mit denen die Unterhaltsrente nicht berÃ¼cksichtigt worden war, nicht gebunden war. Der im Zivilrecht ausdrÃ¼cklich und im Ã¶ffentlichen Recht analog geltende Grundsatz von Treu und Glauben (Art. 2 Abs. 2 Zivilgesetzbuch; ZGB) verbietet indessen Handlungen, die zwar im Einklang mit der entsprechenden gesetzlichen Norm oder einer privatautonomen Vertragsbestimmung stehen, aber objektiv eine Verletzung des Redlichkeitsstandards darstellen und damit das Vertrauen der Rechtsgenossen auf redliches und sachangemessenes Verhalten enttÃ¤uschen. Als Fallgruppe des Rechtsmissbrauchs erfasst Art. 2 Abs. 2 ZGB auch das widersprÃ¼chliche Verhalten (venire contra factum proprium). Setzt sich jemand, und dies kann auch eine BehÃ¶rde sein, zu seinem frÃ¼heren Verhalten in Widerspruch, ist darin ein Verstoss gegen Treu und Glauben zu erblicken, wenn das frÃ¼here Verhalten ein schutzwÃ¼rdiges Vertrauen begrÃ¼ndet hat, welches durch die neuen Handlungen enttÃ¤uscht wird. Die vertrauende Person muss aufgrund des geschaffenen Vertrauens Dispositionen getroffen haben, die sich nun als nachteilig auswirken. Sie nimmt zum Beispiel Handlungen vor, die sie ohne den vom Partner oder von der BehÃ¶rde geschaffenen Vertrauenstatbestand so nicht vorgenommen hÃ¤tte (BGE 126 V 313 ErwÃ¤gung 3 mit Hinweis auf BGE 125 III 159 Erw. 2a).</w:t>
      </w:r>
    </w:p>
    <w:p>
      <w:r>
        <w:t>Â Â Â Â Â Â Â Â  Am 13. Juni 1994 reichte die BeschwerdefÃ¼hrerin das Gesuch um Ausrichtung von Zusatzleistungen ein (Urk. 6/3/33/2). Ein Tag danach, am 14. Juni 1994, vereinbarten die BeschwerdefÃ¼hrerin und ihr geschiedener Ehemann unter anderem die zukÃ¼nftige Aufhebung der Unterhaltsrente. Darin haben die Vertragsparteien klar festgehalten, die Rente falle mit sofortiger Wirkung vollumfÃ¤nglich dahin und sei kÃ¼nftig nicht mehr geschuldet (Urk. 6/3/34 S. 2). Wiederum nur einen Tag danach, am 15. Juni 1994, erfolgte bereits die Zusprache von Zusatzleistungen an die BeschwerdefÃ¼hrerin ohne BerÃ¼cksichtigung der Unterhaltsrente (Urk. 6/3/33/1). Aufgrund dieses zeitlichen Ablaufes liegt es auf der Hand, dass die fragliche Vereinbarung mit dem Gesuch um Zusatzleistungen im Zusammenhang stand, ja gewissermassen gekoppelt war, auch wenn sie nicht unter aktiver Mitwirkung des damaligen Leiters der DurchfÃ¼hrungsstelle abgeschlossen worden war, sondern gemÃ¤ss Auskunft des frÃ¼heren Ehemannes der Versicherten mit Hilfe seines Rechtsanwaltes (Urk. 18/1 Ziff. 1). Klar ist indessen: Ohne Vereinbarung gab es keine Zusatzleistungen und ohne Zusatzleistungen wÃ¤re der Abschluss der Vereinbarung - jedenfalls in Bezug auf die Unterhaltsrente und gerade in jenem Zeitpunkt - nicht nÃ¶tig gewesen. Denn dann hÃ¤tte ein stillschweigender Verzicht der BeschwerdefÃ¼hrerin auf die Ausrichtung der geschuldeten Unterhaltsleistungen genÃ¼gt. Es kann deshalb als Ã¼berwiegend wahrscheinlich gelten, dass die DurchfÃ¼hrungsstelle insoweit mit der BeschwerdefÃ¼hrerin Ã¼bereinstimmend handelte, als der Rentenverzicht als Voraussetzung fÃ¼r die Zusprache von Zusatzleistungen galt, sofern die entsprechende Vereinbarung als gerechtfertigt erachtet wÃ¼rde. Damit hat die DurchfÃ¼hrungsstelle einen Vertrauenstatbestand geschaffen, aufgrund dessen die Versicherte von einer finanziellen UnterstÃ¼tzung durch Zusatzleistungen ohne BerÃ¼cksichtigung der Unterhaltsrente als tatsÃ¤chliches oder fiktives Einkommen rechnen durfte. Diesem Vertrauenstatbestand hat die Beschwerdegegnerin sodann Ã¼ber zehn Jahre nachgelebt und sie ist erst auf Anstoss des kantonalen Sozialamtes darauf zurÃ¼ckgekommen, ohne dass diesem Meinungsumschwung konkrete Hinweise auf eine wesentliche VerÃ¤nderung der finanziellen VerhÃ¤ltnisse des frÃ¼heren Ehemannes der Versicherten vorausgegangen wÃ¤ren. Angesichts dieser UmstÃ¤nde ist jedoch die Versicherte in ihrem Vertrauen zu schÃ¼tzen, zumal dieses Ã¼ber einen derart langen Zeitraum aufrechterhalten wurde. Dies fÃ¼hrt zur Gutheissung der Beschwerde und zur Aufhebung des angefochtenen Beschlusses, ohne dass auf die finanziellen VerhÃ¤ltnisse des frÃ¼heren Ehemannes des Versicherten bzw. deren Entwicklung seit 1994 nÃ¤her eingegangen werden muss. Immerhin gilt es abschliessend festzuhalten, dass sich aus den Akten keine Anhaltspunkte gegeben, die bezogen auf den Zeitpunkt vom November 2005 eine andere EinschÃ¤tzung nahe legen wÃ¼rden, als sie die DurchfÃ¼hrungsstelle 1994 vorgenommen hatte.</w:t>
      </w:r>
    </w:p>
    <w:p>
      <w:r>
        <w:rPr>
          <w:b/>
        </w:rPr>
        <w:t>E. 3</w:t>
      </w:r>
    </w:p>
    <w:p>
      <w:r>
        <w:t>Â Â Â Â Â  Der unentgeltliche Rechtsvertreter der BeschwerdefÃ¼hrerin, Rechtsanwalt Dieter Studer, hat gemÃ¤ss der eingereichten Aufstellung vom 30. November 2007 (Urk. 20) zeitliche Aufwendungen von pauschal 14,5 Stunden und Barauslagen von Fr. 108.75 (ohne Mehrwertsteuer) gehabt. Der geltend gemachte zeitliche Aufwand ist der Bedeutung der Streitsache, der Schwierigkeit des Prozesses und dem fÃ¼r eine gehÃ¶rige Wahrung der Interessen der BeschwerdefÃ¼hrerin gebotenen Aufwand nicht ganz angemessen. Auf die Einreichung einer detaillierten Kostennote hat Rechtsanwalt Dieter Studer auf telefonische Anfrage hin verzichtet (Urk. 21). Im Rahmen des gerichtlichen Ermessens ist die ihm zustehende EntschÃ¤digung daher in Anlehnung an in Ã¤hnlichen FÃ¤llen zugesprochenen BetrÃ¤gen und unter BerÃ¼cksichtigung des gerichtsÃ¼blichen Stundenansatzes von Fr. 200.-- auf Fr. 2'500.-- (inkl. Barauslagen und Mehrwertsteuer) festzusetzen.</w:t>
      </w:r>
    </w:p>
    <w:p>
      <w:r>
        <w:t>Das Gericht erkennt:</w:t>
      </w:r>
    </w:p>
    <w:p>
      <w:r>
        <w:t>1.Â Â Â Â Â Â Â Â  In Gutheissung der Beschwerde wird der angefochtene Einspracheentscheid des Bezirksrates H.__ vom 18. April 2006 aufgehoben, und es wird die Sache an die Beschwerdegegnerin zurÃ¼ckgewiesen, damit diese die Zusatzleistungen ab 1. November 2005 im Sinne der ErwÃ¤gungen neu berechne.</w:t>
      </w:r>
    </w:p>
    <w:p>
      <w:r>
        <w:t>2.Â Â Â Â Â Â Â Â  Das Verfahren ist kostenlos.</w:t>
      </w:r>
    </w:p>
    <w:p>
      <w:r>
        <w:t>3.Â Â Â Â Â Â Â Â  Die Beschwerdegegnerin wird verpflichtet, dem unentgeltlichen Rechtsvertreter der BeschwerdefÃ¼hrerin, Rechtsanwalt Dieter Studer, Kreuzlingen, eine ProzessentschÃ¤digung von Fr. 2'500.-- (inkl. Barauslagen und MWSt) zu bezahlen.</w:t>
      </w:r>
    </w:p>
    <w:p>
      <w:r>
        <w:t>4.Â Â Â Â Â Â Â Â  Zustellung gegen Empfangsschein an:</w:t>
      </w:r>
    </w:p>
    <w:p>
      <w:r>
        <w:t>- Gemeinde A.___</w:t>
      </w:r>
    </w:p>
    <w:p>
      <w:r>
        <w:t>- Bezirksrat H.___</w:t>
      </w:r>
    </w:p>
    <w:p>
      <w:r>
        <w:t>- Rechtsanwalt Dieter Studer</w:t>
      </w:r>
    </w:p>
    <w:p>
      <w:r>
        <w:t>- Bundesamt fÃ¼r Sozialversicherungen</w:t>
      </w:r>
    </w:p>
    <w:p>
      <w:r>
        <w:t>- Direktion fÃ¼r Sicherheit und Soziales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