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ZL.2003.00018 vom 28. November 2003</w:t>
      </w:r>
    </w:p>
    <w:p>
      <w:r>
        <w:t>ZH Sozialversicherungsgericht, 2003-11-28, DE</w:t>
      </w:r>
    </w:p>
    <w:p>
      <w:r>
        <w:rPr>
          <w:b/>
        </w:rPr>
        <w:t xml:space="preserve">Quelle: </w:t>
      </w:r>
      <w:r>
        <w:t>https://mcp.opencaselaw.ch/entscheid/zh_sozialversicherungsgericht_ZL.2003.00018</w:t>
      </w:r>
    </w:p>
    <w:p>
      <w:r>
        <w:t>FR: ZH_SOZIALVERSICHERUNGSGERICHT ZL.2003.00018 du 28 novembre 2003</w:t>
      </w:r>
    </w:p>
    <w:p>
      <w:r>
        <w:t>IT: ZH_SOZIALVERSICHERUNGSGERICHT ZL.2003.00018 del 28 novembre 2003</w:t>
      </w:r>
    </w:p>
    <w:p>
      <w:pPr>
        <w:pStyle w:val="Heading2"/>
      </w:pPr>
      <w:r>
        <w:t>Erwägungen</w:t>
      </w:r>
    </w:p>
    <w:p>
      <w:r>
        <w:rPr>
          <w:b/>
        </w:rPr>
        <w:t>E. 2</w:t>
      </w:r>
    </w:p>
    <w:p>
      <w:r>
        <w:t>Hiergegen erhob die Versicherte mit Eingabe vom 13. Oktober 2003 beim Bezirksrat Dietikon Beschwerde (Urk. 1). Der Bezirksrat Ã¼berwies die Beschwerde am 20. Oktober 2003 dem Sozialversicherungsgericht (Urk. 4) und beantragte Nichteintreten. Die DurchfÃ¼hrungsstelle reichte die Akten ein und schloss auf Abweisung der Beschwerde (Urk. 8). Das Gericht schloss den Schriftenwechsel mit VerfÃ¼gung vom 6. November 2003 ab (Urk. 10).</w:t>
      </w:r>
    </w:p>
    <w:p>
      <w:r>
        <w:t>Auf die Vorbringen der Parteien wird, soweit erforderlich, in den ErwÃ¤gungen eingegangen.</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Anders verhÃ¤lt es sich mit den verfahrensrechtlichen Neuerungen. Diese sind mangels anderslautender Ãbergangsbestimmung mit dem Tag des Inkraftretens sofort und in vollem Umfang anwendbar (BGE 117 V 93 Erw. 6b, 112 V 360 Erw. 4a; RKUV 1998 Nr. KV 37 S. 316 Erw. 3b). Die im ATSG enthaltenen und die gestÃ¼tzt darauf in den Spezialgesetzen auf den 1. Januar 2003 geÃ¤nderten Verfahrensbestimmungen gelangen daher bereits zur Anwendung.</w:t>
      </w:r>
    </w:p>
    <w:p>
      <w:r>
        <w:t>2.Â Â Â Â Â Â</w:t>
      </w:r>
    </w:p>
    <w:p>
      <w:r>
        <w:t>2.1Â Â Â Â  Der Bezirksrat Dietikon ist in seinem Beschluss vom 17. September 2003 (Urk. 2) auf die Einsprache der Versicherten nicht eingetreten, da die Einsprachefrist von 20 Tagen verpasst worden sei und die Versicherte es versÃ¤umt habe, innert angesetzter Frist ein Ã¤rztliches Zeugnis einzureichen, welches Auskunft Ã¼ber die Frage gebe, in welchem Ausmass die Beweglichkeit ihrer verstauchten rechten Hand eingeschrÃ¤nkt gewesen sei.</w:t>
      </w:r>
    </w:p>
    <w:p>
      <w:r>
        <w:t>Â Â Â Â Â Â Â Â  DemgegenÃ¼ber wandte die BeschwerdefÃ¼hrerin ein (Urk. 1), sie habe dem Bezirksrat das verlangte Arztzeugnis (Urk. 3) am Mittwoch, den 30. Juli 2003, per A-Post zugestellt. Schreiben sei fÃ¼r sie nach wie vor unmÃ¶glich gewesen. Im Ãbrigen hielt sie der an sie gerichteten RÃ¼ckforderung ihre finanzielle Lage entgegen. Sie wies darauf hin, dass sie seit lÃ¤ngerer Zeit eine Wohnung suche. Sollte sie eine finden, mÃ¼sste ein Mietzinsdepot geleistet werden; LagergebÃ¼hren fÃ¼r die eingestellten MÃ¶bel und Umzugskosten kÃ¤men hinzu. Ausserdem sei eine Zahnarztrechnung in der HÃ¶he von zwei- bis dreitausend Franken ausstehend. Monatlich fehlten ihr Mittel in der HÃ¶he von Fr. 481.--, welche sie aus ihrem VermÃ¶gen beziehen mÃ¼sse. Die RÃ¼ckforderung in der HÃ¶he von Fr. 22'217.-- treffe sie hart; es wÃ¼rde ihr sehr helfen, wenn sie lediglich die HÃ¤lfte zurÃ¼ckbezahlen mÃ¼sste.</w:t>
      </w:r>
    </w:p>
    <w:p>
      <w:r>
        <w:t>2.2Â Â Â Â  Der fragliche Einspracheentscheid des Beschwerdegegners datiert vom 2. Mai 2003 und wurde am 6. Mai 2003 versandt (Urk. 9/5/5). Er ist daher der BeschwerdefÃ¼hrerin frÃ¼hestens am 7. Mai 2003 zugekommen. Die 20-tÃ¤gige Rechtsmittelfrist lief daher am 27. Mai 2003 ab. Die hiergegen erhobene Einsprache datiert vom 30. Mai und wurde am 2. Juni 2003 zur Post gegeben (vgl. Urk. 5/3).</w:t>
      </w:r>
    </w:p>
    <w:p>
      <w:r>
        <w:t>Unter den Parteien unbestritten ist, dass die Einsprache der BeschwerdefÃ¼hrerin zuhanden des Bezirksrates nicht innert der gesetzlich vorgeschriebenen Frist erfolgt ist, sondern verspÃ¤tet. Dazu kann auf die AusfÃ¼hrungen im angefochtenen Entscheid und auf die Einsprache vom 30. Mai 2003 verwiesen werden (Urk. 2 S. 2 und Urk. 5/1).</w:t>
      </w:r>
    </w:p>
    <w:p>
      <w:r>
        <w:t>Streitig und nachfolgend zu prÃ¼fen ist, ob ein sinngemÃ¤ss geltend gemachter Fristwiederherstellungsgrund gegeben ist. Nicht Gegenstand des vorliegenden Verfahrens bildet die Frage, ob der RÃ¼ckerstattungsentscheid vom 6. MÃ¤rz 2003 rechtens sei. DarÃ¼ber hat der Bezirksrat Dietikon als erstinstanzliche RechtsmittelbehÃ¶rde zu entscheiden, falls ein Fristwiederherstellungsgrund bejaht wird.</w:t>
      </w:r>
    </w:p>
    <w:p>
      <w:r>
        <w:rPr>
          <w:b/>
        </w:rPr>
        <w:t>E. 3</w:t>
      </w:r>
    </w:p>
    <w:p>
      <w:r>
        <w:t>Zustellung gegen Empfangsschein an:</w:t>
      </w:r>
    </w:p>
    <w:p>
      <w:r>
        <w:t>- O.___</w:t>
      </w:r>
    </w:p>
    <w:p>
      <w:r>
        <w:t>- Gemeinde Birmensdorf</w:t>
      </w:r>
    </w:p>
    <w:p>
      <w:r>
        <w:t>- Bezirksrat Dietikon</w:t>
      </w:r>
    </w:p>
    <w:p>
      <w:r>
        <w:t>- Bundesamt fÃ¼r Sozialversicherung</w:t>
      </w:r>
    </w:p>
    <w:p>
      <w:r>
        <w:t>- Direktion fÃ¼r Sicherheit und Soziales des Kantons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w:t>
      </w:r>
    </w:p>
    <w:p>
      <w:r>
        <w:t>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