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ZL.2003.00006 vom 29. Oktober 2003</w:t>
      </w:r>
    </w:p>
    <w:p>
      <w:r>
        <w:t>ZH Sozialversicherungsgericht, 2003-10-29, DE</w:t>
      </w:r>
    </w:p>
    <w:p>
      <w:r>
        <w:rPr>
          <w:b/>
        </w:rPr>
        <w:t xml:space="preserve">Quelle: </w:t>
      </w:r>
      <w:r>
        <w:t>https://mcp.opencaselaw.ch/entscheid/zh_sozialversicherungsgericht_ZL.2003.00006</w:t>
      </w:r>
    </w:p>
    <w:p>
      <w:r>
        <w:t>FR: ZH_SOZIALVERSICHERUNGSGERICHT ZL.2003.00006 du 29 octobre 2003</w:t>
      </w:r>
    </w:p>
    <w:p>
      <w:r>
        <w:t>IT: ZH_SOZIALVERSICHERUNGSGERICHT ZL.2003.00006 del 29 ottobre 2003</w:t>
      </w:r>
    </w:p>
    <w:p>
      <w:pPr>
        <w:pStyle w:val="Heading2"/>
      </w:pPr>
      <w:r>
        <w:t>Erwägungen</w:t>
      </w:r>
    </w:p>
    <w:p>
      <w:r>
        <w:rPr>
          <w:b/>
        </w:rPr>
        <w:t>E. 2</w:t>
      </w:r>
    </w:p>
    <w:p>
      <w:r>
        <w:t>Dagegen erhob T.___ am 20. Oktober 2002 Beschwerde und beantragte sinngemÃ¤ss, es sei der Beschluss des Bezirksrates aufzuheben und auf die Einsprachen einzutreten (Urk. 1). Mit Schreiben vom 20. MÃ¤rz 2003 schloss der Bezirksrat auf Abweisung der Beschwerde (Urk. 3). In der Beschwerdeantwort vom 1. April 2003 beantragte das AZL Abweisung der Beschwerde (Urk. 7). Am 10. April 2003 wurde der Schriftenwechsel abgeschlossen (Urk. 10).</w:t>
      </w:r>
    </w:p>
    <w:p>
      <w:r>
        <w:t>Auf die Vorbringen der Parteien wird, soweit erforderlich, in den ErwÃ¤gungen eingegangen.</w:t>
      </w:r>
    </w:p>
    <w:p>
      <w:r>
        <w:t>Â Â Â Â Â Â Â Â</w:t>
      </w:r>
    </w:p>
    <w:p>
      <w:r>
        <w:t>Das Gericht zieht in ErwÃ¤gung:</w:t>
      </w:r>
    </w:p>
    <w:p>
      <w:r>
        <w:t>1.</w:t>
      </w:r>
    </w:p>
    <w:p>
      <w:r>
        <w:t>1.1Â Â Â Â  Am 1. Januar 2003 ist das Bundesgesetz Ã¼ber den Allgemeinen Teil des Sozialversicherungsrechts (ATSG) vom 6. Oktober 2000 in Kraft getreten. Mit ihm sind zahlreiche Bestimmungen im Sozialversicherungsbereich geÃ¤ndert worden. Weil in zeitlicher Hinsicht grundsÃ¤tzlich diejenigen RechtssÃ¤tze massgebend sind, die bei der ErfÃ¼llung des zu Rechtsfolgen fÃ¼hrenden Tatbestandes Geltung haben (BGE 127 V 467 Erw. 1), und weil ferner das Sozialversicherungsgericht bei der Beurteilung eines Falles grundsÃ¤tzlich auf den bis zum Zeitpunkt des Erlasses der streitigen VerfÃ¼gung beziehungsweise des streitigen Einspracheentscheids eingetretenen Sachverhalt abstellt (BGE 121 V 366 Erw. 1b), sind im vorliegenden Fall die neuen Bestimmungen nicht anwendbar.</w:t>
      </w:r>
    </w:p>
    <w:p>
      <w:r>
        <w:t>1.2Â Â Â Â  GemÃ¤ss Art. 3d des Bundesgesetzes Ã¼ber ErgÃ¤nzungsleistungen zur Alters-, Hinterlassenen- und Invalidenversicherung (ELG) haben BezÃ¼ger einer jÃ¤hrlichen ErgÃ¤nzungsleistung Anspruch auf die VergÃ¼tung von ausgewiesenen, im laufenden Jahr entstandenen Krankheitskosten (Abs. 1). Besteht infolge EinnahmenÃ¼berschusses (anrechenbare Einnahmen hÃ¶her als anerkannte Ausgaben) kein Anspruch auf ErgÃ¤nzungsleistungen, kÃ¶nnen Krankheitskosten Ã¼bernommen werden, soweit sie hÃ¶her sind als der EinnahmenÃ¼berschuss (Abs. 4 ELG, Art. 19a der Verordnung Ã¼ber die ErgÃ¤nzungsleistungen zur Alters-, Hinterlassenen- und Invalidenversicherung, ELV).</w:t>
      </w:r>
    </w:p>
    <w:p>
      <w:r>
        <w:t>2.Â Â Â Â Â Â  Der RÃ¼ckzug eines Rechtsmittels muss klar, ausdrÃ¼cklich und unbedingt erfolgen (BGE 119 V 38 Erw. 1b mit Hinweis). Er ist nicht frei widerrufbar. Ein Widerruf des RÃ¼ckzuges ist unter zwei Voraussetzungen zulÃ¤ssig:</w:t>
      </w:r>
    </w:p>
    <w:p>
      <w:r>
        <w:t>1.Â Â Â Â  Unter dem Gesichtswinkel von Treu und Glauben, wenn der RÃ¼ckzug durch eine falsche Auskunft einer BehÃ¶rde Ã¼ber die Prozessaussichten veranlasst worden ist (KÃ¶lz/Bosshart/RÃ¶hl, Kommentar zum Verwaltungsrechtspflegegesetz des Kantons ZÃ¼rich, 2. Auflage, ZÃ¼rich 1999, Vorbem. zu Â§Â§ 19-28 N 61; Imboden/Rhinow, Schweizerische Verwaltungsrechtsprechung, 6. Auflage, Basel 1986, Band I Nr. 79 B II b).</w:t>
      </w:r>
    </w:p>
    <w:p>
      <w:r>
        <w:t>2.Â Â Â Â  Wenn nachgewiesen wird, dass der RÃ¼ckzug unter WillensmÃ¤ngeln zustandegekommen ist. Dabei sind die Regeln des Obligationenrechts (OR) Ã¼ber die WillensmÃ¤ngel (Irrtum, absichtliche TÃ¤uschung, Furchterregung) im Prozessrecht und Verwaltungsverfahren sinngemÃ¤ss anwendbar (vgl. Urteil des EidgenÃ¶ssischen Versicherungsgerichts vom 20. November 2002 in Sachen P., U 139/02, Erw. 2.3, wobei es um den in diesem Punkt vergleichbaren Rechtsmittelverzicht ging; BGE 105 Ia 115 Erw. 2). Ein wesentlicher, d.h. rechtlich beachtlicher Irrtum liegt vor, wenn er die Voraussetzungen des Grundlagenirrtums im Sinne von Art. 24 Abs. 1 Ziffer 4 OR erfÃ¼llt. Der Grundlagenirrtum setzt kumulativ voraus, dass der Irrende den irrtÃ¼mlich vorgestellten Sachverhalt im Zeitpunkt des Vertragsabschlusses als notwendige Vertragsgrundlage betrachtet (subjektive Wesentlichkeit), und dass er den vorgestellten Sachverhalt nach Treu und Glauben im GeschÃ¤ftsverkehr als eine notwendige Grundlage des Vertrages betrachten darf (objektive Wesentlichkeit) (Urteil des EidgenÃ¶ssischen Bundesgerichts vom 24. April 2001 in Sachen A., 4C.34/2000, Erw. 3c).</w:t>
      </w:r>
    </w:p>
    <w:p>
      <w:r>
        <w:t>Unwesentlicher und damit rechtlich nicht beachtlicher Irrtum ist der Irrtum Ã¼ber die Rechtsfolgen des Vertrages sowie Rechtsirrtum und Rechtsunkenntnis (BGE 118 II 58 Erw. 3b).</w:t>
      </w:r>
    </w:p>
    <w:p>
      <w:r>
        <w:rPr>
          <w:b/>
        </w:rPr>
        <w:t>E. 3</w:t>
      </w:r>
    </w:p>
    <w:p>
      <w:r>
        <w:t>Zustellung gegen Empfangsschein an:</w:t>
      </w:r>
    </w:p>
    <w:p>
      <w:r>
        <w:t>- T.___</w:t>
      </w:r>
    </w:p>
    <w:p>
      <w:r>
        <w:t>- Stadt ZÃ¼rich Amt fÃ¼r Zusatzleistungen zur AHV/IV</w:t>
      </w:r>
    </w:p>
    <w:p>
      <w:r>
        <w:t>- Bezirksrat ZÃ¼rich</w:t>
      </w:r>
    </w:p>
    <w:p>
      <w:r>
        <w:t>- Bundesamt fÃ¼r Sozialversicherung</w:t>
      </w:r>
    </w:p>
    <w:p>
      <w:r>
        <w:t>- Direktion fÃ¼r Sicherheit und Soziales des Kantons ZÃ¼rich</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r>
        <w:t>BezÃ¼glich der kantonalrechtlichen Beihilfe und der kommunalrechtlichen GemeindezuschÃ¼sse ist kein ordentliches Rechtsmittel 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