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ZL.2003.00003 vom 12. Januar 2004</w:t>
      </w:r>
    </w:p>
    <w:p>
      <w:r>
        <w:t>ZH Sozialversicherungsgericht, 2004-01-12, DE</w:t>
      </w:r>
    </w:p>
    <w:p>
      <w:r>
        <w:rPr>
          <w:b/>
        </w:rPr>
        <w:t xml:space="preserve">Quelle: </w:t>
      </w:r>
      <w:r>
        <w:t>https://mcp.opencaselaw.ch/entscheid/zh_sozialversicherungsgericht_ZL.2003.00003</w:t>
      </w:r>
    </w:p>
    <w:p>
      <w:r>
        <w:t>FR: ZH_SOZIALVERSICHERUNGSGERICHT ZL.2003.00003 du 12 janvier 2004</w:t>
      </w:r>
    </w:p>
    <w:p>
      <w:r>
        <w:t>IT: ZH_SOZIALVERSICHERUNGSGERICHT ZL.2003.00003 del 12 gennaio 2004</w:t>
      </w:r>
    </w:p>
    <w:p>
      <w:pPr>
        <w:pStyle w:val="Heading2"/>
      </w:pPr>
      <w:r>
        <w:t>Erwägungen</w:t>
      </w:r>
    </w:p>
    <w:p>
      <w:r>
        <w:rPr>
          <w:b/>
        </w:rPr>
        <w:t>E. 2</w:t>
      </w:r>
    </w:p>
    <w:p>
      <w:r>
        <w:t>2.1Â Â Â Â  GemÃ¤ss Â§ 19 Abs. 1 lit. b des Gesetzes Ã¼ber die Zusatzleistungen zur AHV/IV des Kantons ZÃ¼rich (ZLG) sind rechtmÃ¤ssig bezogene Beihilfen in der Regel aus dem Nachlass eines bisherigen BezÃ¼gers zurÃ¼ckzuerstatten. GemÃ¤ss Art. 13 der Verordnung der Stadt ZÃ¼rich Ã¼ber den Vollzug des Gesetzes Ã¼ber die Zusatzleistungen zur AHV/IV und die GewÃ¤hrung von GemeindezuschÃ¼ssen (VV0-ZLG, in der hier anwendbaren, vom 1. Januar 1987 bis 31. Dezember 1996 gÃ¼ltig gewesenen Fassung) finden die Bestimmungen des ZLG sinngemÃ¤ss auch auf die GemeindezuschÃ¼sse Anwendung, soweit durch diese Verordnung nichts anderes bestimmt ist (vgl. Urk. 24). Damit ist Â§ 19 Abs. 1 lit. b ZLG auch auf die GemeindezuschÃ¼sse anwendbar.</w:t>
      </w:r>
    </w:p>
    <w:p>
      <w:r>
        <w:t>2.2Â Â Â Â  Die Institution des Ã¶ffentliches Inventars ist in Art. 580 ff. des schweizerischen Zivilgesetzbuches (ZGB) geregelt. Jeder Erbe, der die Befugnis hat, die Erbschaft auszuschlagen, ist berechtigt, ein Ã¶ffentliches Inventar zu verlangen (Art. 580 Abs. 1 ZGB). Das Ã¶ffentliche Inventar wird durch die zustÃ¤ndige BehÃ¶rde nach den Vorschriften des kantonalen Rechts errichtet und besteht in der Anlegung eines Verzeichnisses der VermÃ¶genswerte und Schulden der Erbschaft, wobei alle InventarstÃ¼cke mit einer SchÃ¤tzung zu versehen sind (Art. 581 Abs. 1 ZGB). Mit der Aufnahme des Inventars verbindet die BehÃ¶rde einen Rechnungsruf, durch den auf dem Wege angemessener Ã¶ffentlicher AuskÃ¼ndung die GlÃ¤ubiger und Schuldner des Erblassers mit Einschluss der BÃ¼rgschaftsglÃ¤ubiger aufgefordert werden, binnen einer bestimmten Frist ihre Forderungen und Schulden anzumelden (Art. 582 Abs. 1 ZGB). Nach Abschluss des Inventars wird jeder Erbe aufgefordert, sich binnen Monatsfrist Ã¼ber den Erwerb der Erbschaft zu erklÃ¤ren (Art. 587 ZGB). Ãbernimmt ein Erbe die Erbschaft unter Ã¶ffentlichem Inventar, so gehen die Schulden des Erblassers, die im Inventar verzeichnet sind, und die VermÃ¶genswerte auf ihn Ã¼ber (Art. 589 Abs. 1 ZGB). Den GlÃ¤ubigern des Erblassers, deren Forderungen aus dem Grunde nicht in das Inventar aufgenommen worden sind, weil sie deren Anmeldung versÃ¤umt haben, sind die Erben weder persÃ¶nlich noch mit der Erbschaft haftbar (Art. 590 Abs. 1 ZGB).Â</w:t>
      </w:r>
    </w:p>
    <w:p>
      <w:r>
        <w:t>3.Â Â Â Â Â Â</w:t>
      </w:r>
    </w:p>
    <w:p>
      <w:r>
        <w:t>3.1Â Â Â Â  In formeller Hinsicht ist vorab streitig, ob die im Einspracheverfahren eingereichte Vernehmlassung des AZL vom 5. April 2002 (Urk. 5/5) aus dem Recht zu weisen ist (Urk. 1, Urk. 16, Urk. 10).</w:t>
      </w:r>
    </w:p>
    <w:p>
      <w:r>
        <w:t>Der BeschwerdefÃ¼hrer bringt vor, gegen die RÃ¼ckerstattungsverfÃ¼gung habe er am 30. Oktober 2000 Einsprache erhoben. Das AZL habe seine Vernehmlassung erst am 5. April 2002 und somit 1 1/2 Jahre spÃ¤ter abgegeben. Verfahrensrechtlich habe es die einer Partei zustehenden Rechtsmittelfristen bei weitem Ã¼berzogen und damit jegliche Fristen versÃ¤umt. Wegen FristversÃ¤umnisses sei die Vernehmlassung aus dem Recht zu weisen.</w:t>
      </w:r>
    </w:p>
    <w:p>
      <w:r>
        <w:t>3.2Â Â Â Â  Nach der Rechtsprechung sind die Parteien aufgrund ihrer prozessualen Sorgfaltspflichten und des Grundsatzes von Treu und Glauben verpflichtet, festgestellte VerfahrensmÃ¤ngel rechtzeitig anzuzeigen. Insbesondere ist es einer Partei zuzumuten, im laufenden Verfahren alle ihr zur VerfÃ¼gung stehenden Vorkehren zu treffen, um auf eine Beschleunigung des Verfahrens hinzuwirken, z.B. mit entsprechenden Eingaben oder wenn nÃ¶tig mit einer RechtsverzÃ¶gerungsbeschwerde. UnterlÃ¤sst sie dies, kann sie im nachfolgenden Verfahren vor der Beschwerdeinstanz diese RÃ¼ge nicht mehr erheben (BGE 126 V 244 Erw. 2d mit Hinweisen).Â Â</w:t>
      </w:r>
    </w:p>
    <w:p>
      <w:r>
        <w:t>Nach der Aktenlage hat das AZL die bei ihm am 30. Oktober 2000 eingegangene Einsprache mit seiner Vernehmlassung erst am 5. April 2002 dem Bezirksrat Ã¼berwiesen (vgl. Urk. 5/2, Urk. 5/5). Da der Bezirksrat keine Frist fÃ¼r die Vernehmlassung angesetzt hatte, konnte eine solche auch nicht versÃ¤umt werden. Der BeschwerdefÃ¼hrer seinerseits hat den Bezirksrat weder je um Auskunft nach dem Stand des Verfahrens gebeten noch um Beschleunigung des Verfahrens ersucht. Er hat es somit unterlassen, den festgestellten Verfahrensmangel im damaligen Verfahren geltend zu machen. Damit kann er die RÃ¼ge der RechtsverzÃ¶gerung ihm vorliegenden Verfahren nicht mehr geltend machen. Ein Grund, die Vernehmlassung aus dem Recht zu weisen, ist damit nicht gegeben, weshalb dem Antrag des BeschwerdefÃ¼hrers nicht stattzugeben ist.</w:t>
      </w:r>
    </w:p>
    <w:p>
      <w:r>
        <w:rPr>
          <w:b/>
        </w:rPr>
        <w:t>E. 4</w:t>
      </w:r>
    </w:p>
    <w:p>
      <w:r>
        <w:t>BezÃ¼glich der kantonalrechtlichen Beihilfe und der kommunalrechtlichen GemeindezuschÃ¼sse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