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ZL.2002.00023 vom 22. September 2003</w:t>
      </w:r>
    </w:p>
    <w:p>
      <w:r>
        <w:t>ZH Sozialversicherungsgericht, 2003-09-22, DE</w:t>
      </w:r>
    </w:p>
    <w:p>
      <w:r>
        <w:rPr>
          <w:b/>
        </w:rPr>
        <w:t xml:space="preserve">Quelle: </w:t>
      </w:r>
      <w:r>
        <w:t>https://mcp.opencaselaw.ch/entscheid/zh_sozialversicherungsgericht_ZL.2002.00023</w:t>
      </w:r>
    </w:p>
    <w:p>
      <w:r>
        <w:t>FR: ZH_SOZIALVERSICHERUNGSGERICHT ZL.2002.00023 du 22 septembre 2003</w:t>
      </w:r>
    </w:p>
    <w:p>
      <w:r>
        <w:t>IT: ZH_SOZIALVERSICHERUNGSGERICHT ZL.2002.00023 del 22 settembre 2003</w:t>
      </w:r>
    </w:p>
    <w:p>
      <w:pPr>
        <w:pStyle w:val="Heading2"/>
      </w:pPr>
      <w:r>
        <w:t>Erwägungen</w:t>
      </w:r>
    </w:p>
    <w:p>
      <w:r>
        <w:rPr>
          <w:b/>
        </w:rPr>
        <w:t>E. 2</w:t>
      </w:r>
    </w:p>
    <w:p>
      <w:r>
        <w:t>Hiergegen liess S.___ mit Eingabe vom 24. Oktober 2002 Beschwerde erheben und folgende AntrÃ¤ge stellen (Urk. 1 S. 2):</w:t>
      </w:r>
    </w:p>
    <w:p>
      <w:r>
        <w:t>"1.Â Â Â  Es sei der Einspracheentscheid vom 19. September 2002 aufzuheben, und die RÃ¼ckerstattungsverfÃ¼gung vom 23. November 2001 sei fÃ¼r rechtsungÃ¼ltig zu erklÃ¤ren.</w:t>
      </w:r>
    </w:p>
    <w:p>
      <w:r>
        <w:t>Â 2.Â Â Â  Eventualiter: Die Streitsache sei an den Bezirksrat zurÃ¼ckzuweisen, damit dieser Ã¼ber die eingereichte Einsprache materiell entscheide.</w:t>
      </w:r>
    </w:p>
    <w:p>
      <w:r>
        <w:t>Â 3.Â Â Â  Die Beschwerdegegnerin sei zu verpflichten, der BeschwerdefÃ¼hrerin eine angemessene ProzessentschÃ¤digung zu bezahlen."</w:t>
      </w:r>
    </w:p>
    <w:p>
      <w:r>
        <w:t>Der Bezirksrat ZÃ¼rich verzichtete auf eine Stellungnahme (Urk. 5). Das AZL ersuchte mit Eingabe vom 29. November 2002 (Urk. 11) um Abweisung der Beschwerde. Das Gericht schloss den Schriftenwechsel mit VerfÃ¼gung vom 6. Dezember 2002 ab (Urk. 12).</w:t>
      </w:r>
    </w:p>
    <w:p>
      <w:r>
        <w:t>Auf die Vorbringen der Parteien wird, soweit erforderlich, in den ErwÃ¤gungen eingegangen.</w:t>
      </w:r>
    </w:p>
    <w:p>
      <w:r>
        <w:t>Das Gericht zieht in ErwÃ¤gung:</w:t>
      </w:r>
    </w:p>
    <w:p>
      <w:r>
        <w:t>1.Â Â 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2.Â Â Â Â Â Â</w:t>
      </w:r>
    </w:p>
    <w:p>
      <w:r>
        <w:rPr>
          <w:b/>
        </w:rPr>
        <w:t>E. 2.1</w:t>
      </w:r>
    </w:p>
    <w:p>
      <w:r>
        <w:t>UnrechtmÃ¤ssig bezogene Zusatzleistungen sind vom BezÃ¼ger oder der BezÃ¼gerin beziehungsweise den Erben zurÃ¼ckzuerstatten (Art. 27 der Verordnung Ã¼ber die ErgÃ¤nzungsleistungen zur Alters-, Hinterlassenen- und Invalidenversicherung, ELV). FÃ¼r die RÃ¼ckerstattung solcher Leistungen und den Erlass der RÃ¼ckforderung sind die Vorschriften des Bundesgesetzes Ã¼ber die Alters- und Hinterlassenversicherung (AHVG) sinngemÃ¤ss anwendbar.</w:t>
      </w:r>
    </w:p>
    <w:p>
      <w:r>
        <w:t>2.2Â Â Â Â  GemÃ¤ss einem allgemeinen Grundsatz des Sozialversicherungsrechts kann die Verwaltung eine formell rechtskrÃ¤ftige VerfÃ¼gung, welche nicht Gegenstand materieller richterlicher Beurteilung gebildet hat, in WiedererwÃ¤gung ziehen, wenn sie zweifellos unrichtig und ihre Berichtigung von erheblicher Bedeutung ist (BGE 127 V 469 Erw. 2c mit Hinweisen).</w:t>
      </w:r>
    </w:p>
    <w:p>
      <w:r>
        <w:t>Von der WiedererwÃ¤gung ist die so genannte prozessuale Revision von VerwaltungsverfÃ¼gungen zu unterscheiden. Danach ist die Verwaltung verpflichtet, auf eine formell rechtskrÃ¤ftige VerfÃ¼gung zurÃ¼ckzukommen, wenn neue Tatsachen oder neue Beweismittel entdeckt werden, die geeignet sind, zu einer anderen rechtlichen Beurteilung zu fÃ¼hren (BGE 127 V 469 Erw. 2c mit Hinweisen). Erheblich kÃ¶nnen nur Tatsachen sein, die zur Zeit der Erstbeurteilung bereits bestanden, jedoch unverschuldeterweise unbekannt waren oder unbewiesen blieben (BGE 119 V 184 Erw. 3a, 477 Erw. 1a, je mit Hinweisen).</w:t>
      </w:r>
    </w:p>
    <w:p>
      <w:r>
        <w:t>Bei der Beurteilung, ob eine WiedererwÃ¤gung wegen zweifelloser Unrichtigkeit zulÃ¤ssig sei, ist vom Rechtszustand auszugehen wie er im Zeitpunkt des VerfÃ¼gungserlasses bestanden hat (BGE 125 V 389 Erw. 3 mit Hinweisen).</w:t>
      </w:r>
    </w:p>
    <w:p>
      <w:r>
        <w:t>Die fÃ¼r die WiedererwÃ¤gung formell rechtskrÃ¤ftiger VerfÃ¼gungen massgebenden Voraussetzungen gelten auch mit Bezug auf die RÃ¼ckerstattung zu Unrecht bezogener Geldleistungen der ErgÃ¤nzungsleistungen gemÃ¤ss Art. 27 Abs. 1 ELV (BGE 122 V 21 Erw. 3a, 138 Erw. 2c, 110 V 179 Erw.</w:t>
      </w:r>
    </w:p>
    <w:p>
      <w:r>
        <w:t>2a).</w:t>
      </w:r>
    </w:p>
    <w:p>
      <w:r>
        <w:rPr>
          <w:b/>
        </w:rPr>
        <w:t>E. 3</w:t>
      </w:r>
    </w:p>
    <w:p>
      <w:r>
        <w:t>3.1Â Â Â Â  Die Beschwerdegegnerin stÃ¼tzte ihren Entscheid (Urk. 2) vorab auf die Tatsache, dass der BeschwerdefÃ¼hrerin von verschiedenen Versicherern Leistungen ausbezahlt worden seien und es sich aufgrund der Akten zudem ergeben habe, dass sich die Versicherte ein neues Auto gekauft habe. Um nicht Gefahr zu laufen, dass allfÃ¤llig zurÃ¼ckzuerstattende Leistungen verjÃ¤hrten, habe man einen provisorischen Entscheid erlassen mÃ¼ssen, da nur mit dem Erlass einer VerfÃ¼gung die Verwirkungsfrist - um welche es sich entgegen dem Wortlaut handle - unterbrochen werden kÃ¶nne. Deshalb habe mit dem Entscheid nicht lÃ¤nger zugewartet werden kÃ¶nnen (Urk. 6/4 S. 4).</w:t>
      </w:r>
    </w:p>
    <w:p>
      <w:r>
        <w:t>3.2Â Â Â Â  Die BeschwerdefÃ¼hrerin liess in erster Linie vorbringen (Urk. 1 und 6/2), ErgÃ¤nzungsleistungen mÃ¼ssten nur zurÃ¼ckerstattet werden, wenn solche Leistungen unrechtmÃ¤ssig bezogen worden seien. Das sei indes nicht der Fall; auch eine Meldepflichtverletzung werde ihr nicht zur Last gelegt. Daher komme eine rÃ¼ckwirkende RÃ¼ckerstattung nicht in Frage.</w:t>
      </w:r>
    </w:p>
    <w:p>
      <w:r>
        <w:t>Â</w:t>
      </w:r>
    </w:p>
    <w:p>
      <w:r>
        <w:rPr>
          <w:b/>
        </w:rPr>
        <w:t>E. 4</w:t>
      </w:r>
    </w:p>
    <w:p>
      <w:r>
        <w:t>4.1Â Â Â Â  Die Beschwerdegegnerin hat ihren RÃ¼ckerstattungsentscheid vom 23. November 2001 (Urk. 10/I/12) an die Bedingung geknÃ¼pft, dass Versicherungsleistungen aller Art der C.___ Versicherungen beziehungsweise allfÃ¤lliger weiterer Versicherungen erbracht werden. Streitgegenstand und zu beurteilen ist einzig diese Anordnung. UnberÃ¼cksichtigt bleiben demnach die von der D.___-Versicherung der BeschwerdefÃ¼hrerin am 22. November 2000 Ã¼berwiesenen Fr. 55'000.--, welcher Betrag als Saldozahlung gestÃ¼tzt auf die am 9. November 2000 zwischen der BeschwerdefÃ¼hrerin und der Versicherung getroffene Vereinbarung Ã¼berwiesen worden war (Urk. 10/82 und 10/87).</w:t>
      </w:r>
    </w:p>
    <w:p>
      <w:r>
        <w:t>4.2Â Â Â Â  Eine RÃ¼ckforderung gemÃ¤ss Art. 27 Abs. 1 ELV in Verbindung mit Art. 47 Abs. 1 AHVG ist nur unter den Voraussetzungen der WiedererwÃ¤gung oder prozessualen Revision der formell rechtskrÃ¤ftigen VerfÃ¼gung, mit welcher die betreffenden Leistungen zugesprochen worden sind, zulÃ¤ssig (Erw. 2.2 oben; BGE 122 V 21 Erw. 3a).</w:t>
      </w:r>
    </w:p>
    <w:p>
      <w:r>
        <w:t>Vorliegend kommt eine Revision nicht in Frage; hingegen steht als Grundlage fÃ¼r die RÃ¼ckerstattung das Institut der WiedererwÃ¤gung im Vordergrund. Es stellt sich vorab die Frage, ob angesichts dessen, dass die RÃ¼ckforderung nur gelten soll, sofern und soweit in Zukunft Versicherungsleistungen der C.___ Versicherungen beziehungsweise allfÃ¤lliger weiterer Versicherungen erbracht wÃ¼rden, die Voraussetzung zur WiedererwÃ¤gung gegeben ist. Dies ist zu verneinen, denn solange die der Versicherten zustehenden Leistungen der C.___ Versicherungen nicht ihrem Umfang nach feststehen und tatsÃ¤chlich auch ausbezahlt worden sind, waren die seinerzeitigen Auszahlungen, deren RÃ¼ckzahlung zur Diskussion steht, nicht "zweifellos unrichtig". Damit fehlt aber schon aus diesem Grund die MÃ¶glichkeit, bereits jetzt eine RÃ¼ckforderung zu verlangen.</w:t>
      </w:r>
    </w:p>
    <w:p>
      <w:r>
        <w:rPr>
          <w:b/>
        </w:rPr>
        <w:t>E. 5.1</w:t>
      </w:r>
    </w:p>
    <w:p>
      <w:r>
        <w:t>Ausserdem handelt es sich beim angefochtenen Entscheid, der sich nicht Ã¼ber einen konkreten Betrag, der zurÃ¼ckzuerstatten wÃ¤re, Ã¤ussert, um einen an sich unzulÃ¤ssigen Feststellungsentscheid. Ein solcher kann nÃ¤mlich dann nicht ergehen, wenn bezÃ¼glich der in Frage stehenden RÃ¼ckerstattung ein Leistungsurteil mÃ¶glich ist (Thomas Locher, Grundriss des Sozialversicherungsrechts, 2. Auflage, Bern 1997, S. 352, Â§ 54, N 9; BGE 122 V 30 f. Erw. 2b). Ob ein Interesse an der sofortigen Feststellung, dass Zusatzleistungen zur Invalidenrente in der Zukunft, wenn die RÃ¼ckerstattungshÃ¶he feststeht, zurÃ¼ckzuerstatten seien, besteht, ist fraglich. Ein solches Interesse wird seitens des AZL einerseits hinsichtlich der teilweisen Verwirkung der RÃ¼ckerstattungsforderung und anderseits in Bezug auf den guten Glauben beim Erlass geltend gemacht (Urk. 6/4 S. 4). Ob ein rechtsgenÃ¼gliches Feststellungsinteresse gegeben ist, ist daher nachfolgend zu prÃ¼fen.</w:t>
      </w:r>
    </w:p>
    <w:p>
      <w:r>
        <w:t>5.2Â Â Â Â  GemÃ¤ss Art. 47 Abs. 2 AHVG verjÃ¤hrt der RÃ¼ckforderungsanspruch mit dem Ablauf eines Jahres seit Kenntnisnahme, spÃ¤testens aber mit dem Ablauf von fÃ¼nf Jahren seit der Auszahlung der einzelnen Leistungen. Obwohl von VerjÃ¤hrung gesprochen wird, handelt es sich dabei nach stÃ¤ndiger Praxis um eine Verwirkungsfrist (Urteil des EidgenÃ¶ssischen Versicherungsgerichts in Sachen R. vom 13. Mai 2003, H 8/03; in BGE 129 V 70 ff. nicht verÃ¶ffentlichte ErwÃ¤gung 5.1 des Urteils S. vom 8. Oktober 2002, P 41/00; BGE 119 V 433 Erw. 3a, je mit Hinweisen). Eine Unterbrechung der Verwirkung, wie sie das Privatrecht bei den VerjÃ¤hrungsfristen kennt (vgl. die Regelung in Art. 137 Abs. 1 des Obligationenrechts; OR), ist dem Sozialversicherungsrecht fremd. Da somit die Verwirkungsfrist nicht unterbrochen und der Fristenlauf nicht neu ausgelÃ¶st werden kann, steht der Verwaltung einzig die MÃ¶glichkeit offen, mittels einer vorsorglichen Massnahme die sofortige Vollstreckung der VerfÃ¼gung anzustreben, um der Verwirkungsdrohung entgegen zu treten. Da indessen die in diesem Verfahren strittige VerfÃ¼gung noch nicht vollstreckbar sein kann, weil Bestand und Umfang der RÃ¼ckforderung noch nicht feststehen, kommt die Anordnung einer vorsorglichen Massnahme im genannten Sinne nicht in Frage. Wenn die RÃ¼ckforderung in Bestand und Umfang bekannt ist, bedarf es wiederum keiner vorsorglichen Massnahme mehr, steht doch dann unwiderruflich fest, in welchem Umfang die absolute Verwirkungsfrist von fÃ¼nf Jahren mit dem Erlass der RÃ¼ckforderungsverfÃ¼gung eingehalten ist, womit die Verwirkung in diesem Umfang ein fÃ¼r allemal ausgeschlossen ist.</w:t>
      </w:r>
    </w:p>
    <w:p>
      <w:r>
        <w:t>5.3Â Â Â Â  Aber auch die ZerstÃ¶rung des guten Glaubens der BeschwerdefÃ¼hrerin bildet keinen Anlass, bereits jetzt einen RÃ¼ckerstattungsentscheid zu erlassen, bevor die materiellen Voraussetzungen hiezu gegeben sind. GemÃ¤ss der in Art. 24 Satz 1 ELV statuierten Meldepflicht hat die anspruchsberechtigte Person, ihr gesetzlicher Vertreter oder gegebenenfalls die Drittperson oder die BehÃ¶rde, welcher eine ErgÃ¤nzungsleistung ausbezahlt wird, der kantonalen DurchfÃ¼hrungsstelle von jeder Ãnderung der persÃ¶nlichen und von jeder ins Gewicht fallenden Ãnderung der wirtschaftlichen VerhÃ¤ltnisse unverzÃ¼glich Mitteilung zu machen. Auf diese gesetzliche Pflicht hat das AZL die BeschwerdefÃ¼hrerin mit der Mitteilung vom 27. Juli 2001 (Urk. 10/84) ausdrÃ¼cklich aufmerksam gemacht. Somit konnte und kann die BeschwerdefÃ¼hrerin ohnehin nicht mehr gutglÃ¤ubig auf die Meldung einer Nachzahlung von Leistungen der C.___ Versicherungen mit der BegrÃ¼ndung verzichten, sie habe um die RÃ¼ckerstattungs- oder die Meldepflicht nicht gewusst.</w:t>
      </w:r>
    </w:p>
    <w:p>
      <w:r>
        <w:t>Zusammenfassend fehlt es demnach an der Voraussetzung zur RÃ¼ckforderung und ist kein Interesse ersichtlich, diesbezÃ¼glich einen separaten Feststellungsentscheid zu erlassen. Der Entscheid des Bezirksrates vom 19. September 2002 und die VerfÃ¼gung des AZL vom 23. November 2001 sind somit in Gutheissung der Beschwerde aufzuheben.</w:t>
      </w:r>
    </w:p>
    <w:p>
      <w:r>
        <w:t>6.Â Â Â Â Â Â  Nach Â§ 34 Abs. 1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dem Schwierigkeitsgrad des Prozesses bemessen.</w:t>
      </w:r>
    </w:p>
    <w:p>
      <w:r>
        <w:t>Unter BerÃ¼cksichtigung der genannten Kriterien ist die EntschÃ¤digung gesamthaft auf Fr. 1'300.-- (inkl. Barauslagen und Mehrwertsteuer) festzusetzen.</w:t>
      </w:r>
    </w:p>
    <w:p>
      <w:r>
        <w:t>Das Gericht erkennt:</w:t>
      </w:r>
    </w:p>
    <w:p>
      <w:r>
        <w:t>1.Â Â Â Â Â Â Â Â  Die Beschwerde wird gutgeheissen, und der Entscheid des Bezirksrates ZÃ¼rich vom 19. September 2002 und die VerfÃ¼gung des Amtes fÃ¼r Zusatzleistungen zur AHV/IV der Stadt ZÃ¼rich vom 23. November 2001 werden aufgehoben.</w:t>
      </w:r>
    </w:p>
    <w:p>
      <w:r>
        <w:t>2.Â Â Â Â Â Â Â Â  Das Verfahren ist kostenlos.</w:t>
      </w:r>
    </w:p>
    <w:p>
      <w:r>
        <w:t>3.Â Â Â Â Â Â Â Â  Die Beschwerdegegnerin wird verpflichtet, der BeschwerdefÃ¼hrerin eine ProzessentschÃ¤digung von Fr. 1'300.-- (inklusive Barauslagen und Mehrwertsteuer) zu bezahlen</w:t>
      </w:r>
    </w:p>
    <w:p>
      <w:r>
        <w:t>4. Zustellung gegen Empfangsschein an:</w:t>
      </w:r>
    </w:p>
    <w:p>
      <w:r>
        <w:t>- RechtsanwÃ¤ltin Sabine Furthmann</w:t>
      </w:r>
    </w:p>
    <w:p>
      <w:r>
        <w:t>- Stadt ZÃ¼rich Amt fÃ¼r Zusatzleistungen zur AHV/IV</w:t>
      </w:r>
    </w:p>
    <w:p>
      <w:r>
        <w:t>- Bezirksrat ZÃ¼rich</w:t>
      </w:r>
    </w:p>
    <w:p>
      <w:r>
        <w:t>- Bundesamt fÃ¼r Sozialversicherung</w:t>
      </w:r>
    </w:p>
    <w:p>
      <w:r>
        <w:t>- Direktion fÃ¼r Sicherheit und Soziales des Kantons ZÃ¼rich</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der kantonalrechtlichen Beihilfe und der kommunalrechtlichen GemeindezuschÃ¼sse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