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UV.2025.00003 vom 1. April 2025</w:t>
      </w:r>
    </w:p>
    <w:p>
      <w:r>
        <w:t>ZH Sozialversicherungsgericht, 2025-04-01, DE</w:t>
      </w:r>
    </w:p>
    <w:p>
      <w:r>
        <w:rPr>
          <w:b/>
        </w:rPr>
        <w:t xml:space="preserve">Quelle: </w:t>
      </w:r>
      <w:r>
        <w:t>https://mcp.opencaselaw.ch/entscheid/zh_sozialversicherungsgericht_UV.2025.00003</w:t>
      </w:r>
    </w:p>
    <w:p>
      <w:r>
        <w:t>FR: ZH_SOZIALVERSICHERUNGSGERICHT UV.2025.00003 du 1 avril 2025</w:t>
      </w:r>
    </w:p>
    <w:p>
      <w:r>
        <w:t>IT: ZH_SOZIALVERSICHERUNGSGERICHT UV.2025.00003 del 1 aprile 2025</w:t>
      </w:r>
    </w:p>
    <w:p>
      <w:pPr>
        <w:pStyle w:val="Heading2"/>
      </w:pPr>
      <w:r>
        <w:t>Erwägungen</w:t>
      </w:r>
    </w:p>
    <w:p>
      <w:r>
        <w:rPr>
          <w:b/>
        </w:rPr>
        <w:t>E. 1</w:t>
      </w:r>
    </w:p>
    <w:p>
      <w:r>
        <w:t>X.___ , geboren 1982, war als Kulissenbauer bei der Y.___ AG</w:t>
      </w:r>
    </w:p>
    <w:p>
      <w:r>
        <w:t>tätig und über dieses Anstellungsverhältnis bei der Suva obligatorisch gegen die Folgen von Unfall versichert, als er am 1. Juni 20 13 beim Spazieren ausrutschte und sich eine Luxationsfraktur des oberen Sprunggelenks lin k s zuzog (vgl. Urk. 9/2 und 9/12 ). Nach mehreren Operationen (vgl. Urk. 9/65) war er ab dem 6. Januar 2015 wieder anhaltend und vollzeitig</w:t>
      </w:r>
    </w:p>
    <w:p>
      <w:r>
        <w:t>für seine bisherige Arbeitgeberin tätig (vgl. Urk.</w:t>
      </w:r>
    </w:p>
    <w:p>
      <w:r>
        <w:t>9/69).</w:t>
      </w:r>
    </w:p>
    <w:p>
      <w:r>
        <w:t>Dabei stürzte er a m 8. Juni 2022</w:t>
      </w:r>
    </w:p>
    <w:p>
      <w:r>
        <w:t>bei Montagearbeiten</w:t>
      </w:r>
    </w:p>
    <w:p>
      <w:r>
        <w:t>von einer Leiter und erlitt eine undislozierte</w:t>
      </w:r>
    </w:p>
    <w:p>
      <w:r>
        <w:t>K al k aneusfraktur</w:t>
      </w:r>
    </w:p>
    <w:p>
      <w:r>
        <w:t>links sowie eine Schulterkontusion recht s . Er wurde konservativ behandelt (vgl. Urk. 10/1 , 10/ 9 , 10/13-14 und 10/100/1 ) .</w:t>
      </w:r>
    </w:p>
    <w:p>
      <w:r>
        <w:t>Am 2 2. August 2023 liess die Suva den Versicherten durch Dr. med. Z.___ , Fachärztin für Neurochirurgie, untersuch en . Gestützt auf deren</w:t>
      </w:r>
    </w:p>
    <w:p>
      <w:r>
        <w:t>Beurteilung ( Urk. 9/99-100) kündigte die Suva dem Versicherten m it Mitteilung vom 11.</w:t>
      </w:r>
    </w:p>
    <w:p>
      <w:r>
        <w:t>Sep tember 2023 an, die im Zusammenhang mit dem Ereignis vom 8. Juni 2022 erbrachten Heilkostenleistungen per 1.</w:t>
      </w:r>
    </w:p>
    <w:p>
      <w:r>
        <w:t>November 2023 einzustellen; Taggelder würde n noch bis 3 1. Oktober 2023 ausgerichtet ( Urk. 9/79 = Urk. 10/108 ). Zudem</w:t>
      </w:r>
    </w:p>
    <w:p>
      <w:r>
        <w:t>sprach sie</w:t>
      </w:r>
    </w:p>
    <w:p>
      <w:r>
        <w:t>ihm</w:t>
      </w:r>
    </w:p>
    <w:p>
      <w:r>
        <w:t>m it Verfügung vom 13.</w:t>
      </w:r>
    </w:p>
    <w:p>
      <w:r>
        <w:t>September 2023 eine Integritätsent schädigung von Fr. 13'710.-- bei einer Integritätseinbusse von 10 % zu, nämlich je 5</w:t>
      </w:r>
    </w:p>
    <w:p>
      <w:r>
        <w:t>% für die Unfallereignisse vom 1.</w:t>
      </w:r>
    </w:p>
    <w:p>
      <w:r>
        <w:t>Juni 2013 und 8.</w:t>
      </w:r>
    </w:p>
    <w:p>
      <w:r>
        <w:t>Juni 2022</w:t>
      </w:r>
    </w:p>
    <w:p>
      <w:r>
        <w:t>( Urk. 9/73 = Urk. 10/109 ). Die vom Versicherten gegen diese Verfügung erhobene Ein sprach e ( Urk. 9/75-77, 9/79/3 , 9/82 und 9/85 ; Urk. 10/114, 10/116, 10/131 und 10/149 ) wies die Suva mit Einspracheentscheid vom 18.</w:t>
      </w:r>
    </w:p>
    <w:p>
      <w:r>
        <w:t>November 2024 ab ( Urk. 2).</w:t>
      </w:r>
    </w:p>
    <w:p>
      <w:r>
        <w:rPr>
          <w:b/>
        </w:rPr>
        <w:t>E. 2</w:t>
      </w:r>
    </w:p>
    <w:p>
      <w:r>
        <w:t>.3</w:t>
      </w:r>
    </w:p>
    <w:p>
      <w:r>
        <w:t>Die Medizinische Abteilung der Suva hat in Weiterentwicklung der bundes rätlichen Skala weitere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 ; Urteil des Bundesgerichts 8C_316/2022 vom 31. Januar 2023 E. 6.1.1 mit Hinweisen ).</w:t>
      </w:r>
    </w:p>
    <w:p>
      <w:r>
        <w:rPr>
          <w:b/>
        </w:rPr>
        <w:t>E. 3</w:t>
      </w:r>
    </w:p>
    <w:p>
      <w:r>
        <w:t>.</w:t>
      </w:r>
    </w:p>
    <w:p>
      <w:r>
        <w:t>Die Parteien beantragen dem Gericht gemeinsam, eine Integritätsentschädigung bei einer Integritätseinbusse von 20 % festzusetzen ( Urk. 1 und 7).</w:t>
      </w:r>
    </w:p>
    <w:p>
      <w:r>
        <w:rPr>
          <w:b/>
        </w:rPr>
        <w:t>E. 4</w:t>
      </w:r>
    </w:p>
    <w:p>
      <w:r>
        <w:t>Zu den Einschätzungen von Dr. B.___ und Dr. A.___ äusserte sich Dr. Z.___ am 1 7. Februar 202 5. Sie stellte fest, dass beide ihrer Einschätzung des Inte gritätsschadens auf 10 % in Bezug auf die bereits vorliegende Arthrose im OSG und USG zugestimmt hätten. Zur Begründung, weshalb die von ihr festgestellte Bewegungseinschränkung im linken OSG mit Dorsalextension/ P lantarflexion von 5-0-30° nicht zu einer Erhöhung dieses Integritätsschadens führt, verwies sie auf die Ausführungen von Dr. A.___ . Schliesslich räumte sie ein, die zu erwar tende Verschlechterung im Verlauf nicht angemessen berücksichtigt zu haben. Eine Verschlechterung bis zu einer mässigen Panarthrose OSG/USG bzw. zur Ver steifung OSG/USG sei für si e nachvollziehbar, womit ein Integritätsschaden von 20 % geschuldet sei, der je zu 50 % zu Lasten der beiden Schadensfälle gehe ( Urk. 10/163).</w:t>
      </w:r>
    </w:p>
    <w:p>
      <w:r>
        <w:rPr>
          <w:b/>
        </w:rPr>
        <w:t>E. 5.1</w:t>
      </w:r>
    </w:p>
    <w:p>
      <w:r>
        <w:t>Die Beurteilung des Integritätsschadens basiert auf dem medizinischen Befund. In einem ersten Schritt fällt es daher den Ärzten zu, sich unter Einbezug der in Anhang 3 der UVV und gegebenenfalls in den Suva-Tabellen aufgeführten Integritätsschäden dazu zu äussern, ob und inwieweit ein Schaden vorliegt, welcher dem Typus von Verordnung, Anhang oder Weisung entspricht. Dem Gericht obliegt es danach, gestützt auf die ärztliche Befunderhebung die recht liche Beurteilung vorzunehmen, ob ein Integritätsschaden gegeben ist, ob die Erheblichkeitsschwelle erreicht ist und, bejahendenfalls, welches Ausmass die erhebliche Schädigung angenommen hat (vgl. Urteil des Bundesgerichts 8C_316/2022 vom 31. Januar 2023 E. 6.1.3.1 mit Hinweisen).</w:t>
      </w:r>
    </w:p>
    <w:p>
      <w:r>
        <w:rPr>
          <w:b/>
        </w:rPr>
        <w:t>E. 5.2</w:t>
      </w:r>
    </w:p>
    <w:p>
      <w:r>
        <w:t>Wie Dr. Z.___ zu Recht feststellte, kann der Beurteilung von Dr. A ._ __ voller Beweiswert zuerkannt werden. Dr. A.___ hat die bildgebend ausgewiesenen arthrotischen Veränderungen sowie die klinisch (von den Behandlern wie auch der Versicherungsmedizinerin , vgl. Urk. 10/76/2 und 10/99/7 ) festgestellte Bewegungseinschränkung umfassend gewürdigt</w:t>
      </w:r>
    </w:p>
    <w:p>
      <w:r>
        <w:t>und den Integritätsschaden nachvollziehbar und schlüssig im Quervergleich (dazu auch Urteil des Bundes gerichts 8C_38/2024 vom 2 8. Juni 2024 E. 2.3.2) der relevanten Suva-Tabellen eingeschätzt.</w:t>
      </w:r>
    </w:p>
    <w:p>
      <w:r>
        <w:t>Auch trug sie der – nach mehreren Frakturen im Bereich des Fusses - zu erwartenden Verschlimmerung der bereits vorhandenen Arthrose im Sinne von</w:t>
      </w:r>
    </w:p>
    <w:p>
      <w:r>
        <w:t>Art. 36 Abs. 4 UVV Rechnun g. Insbesondere wies sie dabei auf die im Regelfall nötigen Arthrodese-Massnahme n bei mässiger Panarthrose im OSG/</w:t>
      </w:r>
    </w:p>
    <w:p>
      <w:r>
        <w:t>USG hin und plausibilisierte ihre Einschätzung anhand des Richtwertes für den Integritätsschaden bei Verlust eines Fusses .</w:t>
      </w:r>
    </w:p>
    <w:p>
      <w:r>
        <w:rPr>
          <w:b/>
        </w:rPr>
        <w:t>E. 5.3</w:t>
      </w:r>
    </w:p>
    <w:p>
      <w:r>
        <w:t>Nur der Vollständigkeit halber sei angefügt, dass Dr. B.___ – wie von Dr.</w:t>
      </w:r>
    </w:p>
    <w:p>
      <w:r>
        <w:t>Z.___ thematisiert und aufgrund des eigenen Untersuchungsbefundes klar verneint (vgl. Urk. 10/163/3 ; ergänzend auch Urk. 10/53/2 ) – zwar den Verdacht auf eine Suralis Neuropathie äusserte, diesbezüglich</w:t>
      </w:r>
    </w:p>
    <w:p>
      <w:r>
        <w:t>jedoch keine dauernde erhebliche Schädigung im Sinne eines Integritätsschadens erwog (vgl. Urk. 10/149).</w:t>
      </w:r>
    </w:p>
    <w:p>
      <w:r>
        <w:t>Im Übrigen werden Schmerzen als Integritätsschaden einzig im Rahmen der Suva-Tabelle 7 «Integritätsschäden bei Wirbelsäulenaffektionen» berücksichtigt und es ist nach wie vor offen, ob die in dieser Tabelle enthaltene Schmerzskala hilfsweise auf die Bemessung des Integritätsschadens bei Schmerzen in anderen Körperbereichen oder bei psychischen bedingten Schmerzen anwendbar ist (vgl. Urteil des Bundesgerichts 8C_38/2024 vom 2 8. Juni 2024 E.</w:t>
      </w:r>
    </w:p>
    <w:p>
      <w:r>
        <w:t>4.2.2). Diese sieht zudem in den meisten Fällen e rst bei Dauerschmerzen eine Entschädigung vor , während d e r Beschwerdeführer über belastungsabhängige Schmerzen ( und eine blosse Hyposensibilität ) klagte (vgl. Urk. 10/68/2). Die Schmerzen sprachen zudem gut auf die M edikation und Infiltration an, so dass am 2 6. April 2023 über ein sehr niedriges Schmerzniveau berichtet wurde (vgl. Urk. 10/69/2 und 10/71/2) und sich der Beschwerdeführer bezüglich weiterer Massnahmen zurückhalten d zeigte (vgl. Urk. 10/84/2).</w:t>
      </w:r>
    </w:p>
    <w:p>
      <w:r>
        <w:t>Letztlich wurden die Schmerzen auch von den Ärzten der Universitätsklinik C.___</w:t>
      </w:r>
    </w:p>
    <w:p>
      <w:r>
        <w:t>am ehesten im Rahmen der Arthrose, wenn auch überlagert durch neuropathisch anmutende Schmerzen beurteilt vgl. Urk. 10/68 /3 ). Insoweit sind sie durch die für die Arthrose veranschlagte Integritätsentschädigung als abgegolten zu betrachten.</w:t>
      </w:r>
    </w:p>
    <w:p>
      <w:r>
        <w:rPr>
          <w:b/>
        </w:rPr>
        <w:t>E. 5.4</w:t>
      </w:r>
    </w:p>
    <w:p>
      <w:r>
        <w:t>Zusammenfassend liegt mit der Beurteilung von Dr. A.___</w:t>
      </w:r>
    </w:p>
    <w:p>
      <w:r>
        <w:t>eine</w:t>
      </w:r>
    </w:p>
    <w:p>
      <w:r>
        <w:t>überzeugende fachärztliche Einschätzung</w:t>
      </w:r>
    </w:p>
    <w:p>
      <w:r>
        <w:t>vor, wonach sich die Integritätseinbusse auf 20 % beläuft und gleichermassen auf die beiden Unfälle vom 1. Juni 2013 und 8. Juni 2022 zurückzuführen ist. Die Versicherungsmedizinerin der Beschwerdegegnerin</w:t>
      </w:r>
    </w:p>
    <w:p>
      <w:r>
        <w:t>teilt diese Einschätzung . Begründete abweichende medizinischen Beurteilungen liegen keine vor. Es sind keine Aspekte ersichtlich, die gegen die angenommene Art des Schadens sprächen oder Zweifel am aktuell en bzw. prognostizierten Ausmass desselben wecken würden .</w:t>
      </w:r>
    </w:p>
    <w:p>
      <w:r>
        <w:rPr>
          <w:b/>
        </w:rPr>
        <w:t>E. 6</w:t>
      </w:r>
    </w:p>
    <w:p>
      <w:r>
        <w:t>Nach dem Ausgeführten ist die Integritätsentschädigung dem gemeinsamen Antrag der Parteien entsprechend auf 20 % zu erhöhen und d ie Beschwerde gut zuheissen.</w:t>
      </w:r>
    </w:p>
    <w:p>
      <w:r>
        <w:rPr>
          <w:b/>
        </w:rPr>
        <w:t>E. 7</w:t>
      </w:r>
    </w:p>
    <w:p>
      <w:r>
        <w:t>und 8 - Suva unter Beilage je einer Kopie von Urk. 13 und 14 -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CurigerBonetti</w:t>
      </w:r>
    </w:p>
    <w:p>
      <w:r>
        <w:rPr>
          <w:b/>
        </w:rPr>
        <w:t>E. 7.1</w:t>
      </w:r>
    </w:p>
    <w:p>
      <w:r>
        <w:t>Nach Art. 61 lit . g des Bundesgesetz es über den Allgemeinen Teil des Sozial versicherungsrechts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w:t>
      </w:r>
    </w:p>
    <w:p>
      <w:r>
        <w:rPr>
          <w:b/>
        </w:rPr>
        <w:t>E. 7.2</w:t>
      </w:r>
    </w:p>
    <w:p>
      <w:r>
        <w:t>In der Kostennote vom 1 3. März 2025 ( Urk. 13) machte die Rechtsvertreterin des Beschwerdeführers einen Aufwand von insgesamt 13.9 Stunden wie folgt geltend: Aktenstudium 2 Stunden, Fragenkatalog an Dr. A.___ 1 Stunde, Beschwerde schrift 9 Stunden, diverse Korrespondenz/Telefonate 0.9 Stunden und Mandats abschluss 1 Stunde. Die Barauslagen bezifferte sie mit Fr. 99.--.</w:t>
      </w:r>
    </w:p>
    <w:p>
      <w:r>
        <w:t>D a sich der Streit indessen auf eine Erhöhung der Integritätsentschädigung beschränkte und sich die Argumentation in der Beschwerde im Wesentlichen in der Widergabe der (wenn auch sehr ausführlichen) Beurteilung von Dr. A.___ erschöpfte, erweist sich der für die Beschwerdeschrift veranschlag t e Aufwand als zu hoch. Dieser ist auf 3 Stunden zu reduzieren.</w:t>
      </w:r>
    </w:p>
    <w:p>
      <w:r>
        <w:t>Bei einer vollumfänglichen Gutheissung ist für den Mandatsabschluss zudem lediglich 0.5 Stunden ein zusetzen. Unter Berücksichtigung des gerichtsüblichen Stundenansatzes von Fr. 280.-- ist für die anwaltlichen Aufwendung somit ein Betrag von aufgerundet Fr. 2 ' 4 00.--</w:t>
      </w:r>
    </w:p>
    <w:p>
      <w:r>
        <w:t>( inkl. Mehrwertsteuer ) festzulegen . Die «übrigen Barauslagen» von Fr.</w:t>
      </w:r>
    </w:p>
    <w:p>
      <w:r>
        <w:t>99.-- sind nicht belegt und in ihrer Höhe nicht nachvollziehbar.</w:t>
      </w:r>
    </w:p>
    <w:p>
      <w:r>
        <w:rPr>
          <w:b/>
        </w:rPr>
        <w:t>E. 7.3</w:t>
      </w:r>
    </w:p>
    <w:p>
      <w:r>
        <w:t>Als Bestandteil des Parteientschädigungsanspruchs zu betrachten sind ferner die notwendigen Expertenkosten , welche im Rahmen eines von der versicherten Person veranlassten Parteigutachtens anf ielen .</w:t>
      </w:r>
    </w:p>
    <w:p>
      <w:r>
        <w:t>Voraussetzung ist, dass die Privat begutachtung notwendig und einen unerlässlichen Bestandteil der materiellen Beurteilung bildete (etwa Urteile des Bundesgerichts 9C_178/2010 vom 1 4. April 2010 E. 2 und 8C_295/2022 vom 2 1. Dezember 2022 E. 11) , was hier – gestützt auf die jüngste Stellungnahme von Dr. Z.___ (vgl. E. 4.4) – für die Beurteilung von Dr. A.___ ohne weiteres zutrifft.</w:t>
      </w:r>
    </w:p>
    <w:p>
      <w:r>
        <w:t>Bei solchen Expertisen bemisst sich die Kostenvergütung durch die Sozialversicherung grundsätzlich nach Auftragsrecht ( Art. 394 ff. OR) und nicht aufgrund von allfälligen tarifvertraglichen Regelungen (vgl. Urteil des Bundesgerichts 9C_541/2016 vom 2 6. Januar 2017 E. 2.2). Es sind daher die ausgewiesen, effektiven Kosten v on Fr.</w:t>
      </w:r>
    </w:p>
    <w:p>
      <w:r>
        <w:t>675.56 (inkl. Mehr wert steuer ; Urk. 14 )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