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UV.2024.00136 vom 16. Dezember 2025</w:t>
      </w:r>
    </w:p>
    <w:p>
      <w:r>
        <w:t>ZH Sozialversicherungsgericht, 2025-12-16, DE</w:t>
      </w:r>
    </w:p>
    <w:p>
      <w:r>
        <w:rPr>
          <w:b/>
        </w:rPr>
        <w:t xml:space="preserve">Quelle: </w:t>
      </w:r>
      <w:r>
        <w:t>https://mcp.opencaselaw.ch/entscheid/zh_sozialversicherungsgericht_UV.2024.00136</w:t>
      </w:r>
    </w:p>
    <w:p>
      <w:r>
        <w:t>FR: ZH_SOZIALVERSICHERUNGSGERICHT UV.2024.00136 du 16 décembre 2025</w:t>
      </w:r>
    </w:p>
    <w:p>
      <w:r>
        <w:t>IT: ZH_SOZIALVERSICHERUNGSGERICHT UV.2024.00136 del 16 dicembre 2025</w:t>
      </w:r>
    </w:p>
    <w:p>
      <w:pPr>
        <w:pStyle w:val="Heading2"/>
      </w:pPr>
      <w:r>
        <w:t>Erwägungen</w:t>
      </w:r>
    </w:p>
    <w:p>
      <w:r>
        <w:rPr>
          <w:b/>
        </w:rPr>
        <w:t>E. 1</w:t>
      </w:r>
    </w:p>
    <w:p>
      <w:r>
        <w:t>X.___ , geboren 1999, war seit</w:t>
      </w:r>
    </w:p>
    <w:p>
      <w:r>
        <w:rPr>
          <w:b/>
        </w:rPr>
        <w:t>E. 1.1</w:t>
      </w:r>
    </w:p>
    <w:p>
      <w:r>
        <w:t>Erleidet die versicherte Person durch den Unfall eine dauernde erhebliche Schädigung der körperlichen, geistigen oder psychischen Integrität, so hat sie Anspruch auf eine angemessene Integritätsentschädigung (Art. 24 Abs. 1 des Bundesgesetz es über die Unfallversicherung , UVG ). Die Integritätsentschädigung wird in Form einer Kapitalleistung gewährt. Sie darf den am Unfalltag geltenden Höchstbetrag des versicherten Jahresverdienstes nicht übersteigen und wird ent 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 cherten Jahresverdienstes nicht übersteigen und bereits nach dem Gesetz bezogene Entschädigungen werden prozentual angerechnet (Abs. 3). 1. 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 digung für spezielle oder nicht aufgeführte Integritätsschäden wird nach dem Grad der Schwere vom Skalenwert abgeleitet (Ziff. 1 Abs. 2). Integritätsschäden, die gemäss der Skala 5 % nicht erreichen, geben keinen Anspruch auf Ent schädigung (Ziff. 1 Abs. 3). Die völlige Gebrauchsunfähigkeit eines Organs wird dem Verlust gleichgestellt; bei teilweisem Verlust und teilweiser Gebrauchs unfähigkeit wird der Integritätsschaden entsprechend geringer, wobei die Entschädigung jedoch ganz entfällt, wenn der Integritätsschaden weniger als 5 % des Höchstbetrages des versicherten Verdienstes ergäbe (Ziff. 2). 1. 3</w:t>
      </w:r>
    </w:p>
    <w:p>
      <w:r>
        <w:t>Die Medizinische Abteilung der Suva hat in Weiterentwicklung der bundes rätlichen Skala weitere Bemessungsgrundlagen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 ; Urteil des Bundesgerichts 8C_316/2022 vom 31. Januar 2023 E. 6.1.1 mit Hinweisen ). 1. 4</w:t>
      </w:r>
    </w:p>
    <w:p>
      <w:r>
        <w:t>Verwaltung und Gericht sind für die Beurteilung der einzelnen Integritäts einbussen auf ärztliche Sachverständige angewiesen (vgl. zur Aufgabe der Arzt person auch BGE 140 V 193 E. 3.2 und Urteil des Bundesgerichts 8C_809/2021 vom 24. Mai 2022 E. 5.4 mit Hinweisen). Die Beurteilung des Integritätsschadens basiert auf dem medizinischen Befund. In einem ersten Schritt fällt es dem Arzt oder der Ärztin zu, sich unter Einbezug der in Anhang 3 der UVV und gegebenenfalls in den Suva-Tabellen aufgeführten Integritätsschäden dazu zu äussern, ob und inwieweit ein Schaden vorliegt, welcher dem Typus von Ver ordnung, Anhang oder Weisung entspricht. Verwaltung und Gericht obliegt es danach, gestützt auf die ärztliche Befunderhebung die rechtliche Beurteilung vorzunehmen, ob ein Integritätsschaden gegeben ist, ob die Erheblichkeits schwelle erreicht ist und, bejahendenfalls, welches Ausmass die erhebliche Schädigung angenommen hat. Dass sie sich hiefür an die medizinischen Angaben zu halten haben, ändert nichts daran, dass die Beurteilung des Integritätsschadens als Grundlage des gesetzlichen Leistungsanspruchs letztlich Sache der Verwal tung, im Streitfall des Gerichts, und nicht der medizinischen Fachperson ist. (Urteil des Bundesgerichts 8C_316/2022 vom 31. Januar 2023 E. 6.1.3.1 mit Hinweisen). 2.</w:t>
      </w:r>
    </w:p>
    <w:p>
      <w:r>
        <w:t>2.1</w:t>
      </w:r>
    </w:p>
    <w:p>
      <w:r>
        <w:t>Im angefochtenen Entscheid erwog die Beschwerdegegnerin (Urk. 2 S. 6 ) , ihr Versicherungsmediziner PD Dr. med. Z.___ , Facharzt für Neurologie FMH, habe ein Status nach Zeckenstich am 8. Juni 2020 mit verursachter Vaskulitis assoziiertem unteren Hirnstamminfarkt und nach drei Jahren ein en stabilisierte n Heil- und Funktionszustand festgehalten . Dabei sei der Beschwerde führer von einer durchgehenden spastischen Hemiparese von Arm, Hand Bein und Fuss der rechten Seite betroffen. Er habe dadurch ein eingeschränktes Gleichgewicht und deutlich eingeschränkte bimanuelle Fähigkeiten. Funktionell bestehe eine deutliche Gehbehinderung mit spastisch ataktischem Gangbild mit der Notwendigkeit einer Unterschenkelorthese und es bestehe eine Kraft- und Feinmotorikstörung im Bereich des rechten Arms. Die rechte ursprünglich dominante Hand könne nur als schwache Haltehand eingesetzt werden , auch wegen der starken Flexorenspastik der Finger. D abei könnten die rein moto rischen Einschränkungen an der Hand, am Arm und am Bein mit spastischer Hemiparese</w:t>
      </w:r>
    </w:p>
    <w:p>
      <w:r>
        <w:t>rechts nur in Analogie mit</w:t>
      </w:r>
    </w:p>
    <w:p>
      <w:r>
        <w:t>den entsprechenden Suva-Tabellen zu den Extremitäten v erletzungen</w:t>
      </w:r>
    </w:p>
    <w:p>
      <w:r>
        <w:t>und unter UVV, Artikel 36, Anhang 3 beurteilt werden .</w:t>
      </w:r>
    </w:p>
    <w:p>
      <w:r>
        <w:t>E in sehr</w:t>
      </w:r>
    </w:p>
    <w:p>
      <w:r>
        <w:t>schwere s motorische s Syndrom sei dabei mit einer Einbusse von 80 % b ewertet . V orliegend sei dies jedoch nur als</w:t>
      </w:r>
    </w:p>
    <w:p>
      <w:r>
        <w:t>mittelschwer und somit hälftig mit 40 %</w:t>
      </w:r>
    </w:p>
    <w:p>
      <w:r>
        <w:t>einzuschätzen .</w:t>
      </w:r>
    </w:p>
    <w:p>
      <w:r>
        <w:t>G emäss Tabelle 1 der</w:t>
      </w:r>
    </w:p>
    <w:p>
      <w:r>
        <w:t>Suva betrage eine funktionell inkomplette untere Plexuslähmung</w:t>
      </w:r>
    </w:p>
    <w:p>
      <w:r>
        <w:t>17.5 % anstelle</w:t>
      </w:r>
    </w:p>
    <w:p>
      <w:r>
        <w:t>von 35 % , da</w:t>
      </w:r>
    </w:p>
    <w:p>
      <w:r>
        <w:t>eine funk tionelle Haltehand rechts gegeben sei. A dditiv sei gemäss Tabelle 2 der Suva eine etwa hälftige Gebrauchsunfähigkeit des Beines mit maximal 25 % aufgrund der Gehbehinderung</w:t>
      </w:r>
    </w:p>
    <w:p>
      <w:r>
        <w:t>zu bewerten .</w:t>
      </w:r>
    </w:p>
    <w:p>
      <w:r>
        <w:t>Die teils schmerzhafte Spastik der Fingerflexoren in der Hand rechts k önne durch eine fokale</w:t>
      </w:r>
    </w:p>
    <w:p>
      <w:r>
        <w:t>Botulinumtoxin-Therapie gut kompensiert werden .</w:t>
      </w:r>
    </w:p>
    <w:p>
      <w:r>
        <w:t>D ieser Quervergleich diene zur weiteren Plausibilisierung des Integritätsschaden s und ergebe einen rechnerischen Unterschied von 2 . 5</w:t>
      </w:r>
    </w:p>
    <w:p>
      <w:r>
        <w:t>% (S. 8).</w:t>
      </w:r>
    </w:p>
    <w:p>
      <w:r>
        <w:t>2.2</w:t>
      </w:r>
    </w:p>
    <w:p>
      <w:r>
        <w:t>Der Beschwerdeführer stellte sich in Bezug auf die strittige Höhe der Inte gritätsentschädigung auf den Standpunkt (Urk. 1), der medizinischen Beurteilung der Suva</w:t>
      </w:r>
    </w:p>
    <w:p>
      <w:r>
        <w:t>könne nicht gefolgt werden, sondern es sei auf die Beurteilungen von Dr. med. A.___ , Facharzt für Neurologie (D) FMH, abzustellen. Der neurologische Befund aus dem Spital B.___</w:t>
      </w:r>
    </w:p>
    <w:p>
      <w:r>
        <w:t>bestätige die armbetonte spastische rechtsseitige Hemiparese. Es trete die aufgehobene Extension und Spreizung der Finger hervor</w:t>
      </w:r>
    </w:p>
    <w:p>
      <w:r>
        <w:t>sowie die a ufgrund der</w:t>
      </w:r>
    </w:p>
    <w:p>
      <w:r>
        <w:t>Bo t ox-Therapie nur</w:t>
      </w:r>
    </w:p>
    <w:p>
      <w:r>
        <w:t>leich t gebesserte Spastik der rechten Hand .</w:t>
      </w:r>
    </w:p>
    <w:p>
      <w:r>
        <w:t>Die</w:t>
      </w:r>
    </w:p>
    <w:p>
      <w:r>
        <w:t>Feinmotorikprüfung und</w:t>
      </w:r>
    </w:p>
    <w:p>
      <w:r>
        <w:t>die Durch führung der Diadochokinese an der rechten Hand sei deshalb bei der neuro lo gischen Untersuchung nicht möglich gewesen . Die Beurteilung einer zentral motorischen Parese der Hand sei nicht direkt mit einem Ausfall des Armplexus zu vergleichen. Seine Fingerbeweglichkeit sei zwar nicht völlig aufgehoben, ein funktioneller Nutzen daraus habe er aber nicht. Das in der Ergotherapie 2022 erreichte Hal t en</w:t>
      </w:r>
    </w:p>
    <w:p>
      <w:r>
        <w:t>leichter Gegenstände lasse sich im Alltag nicht einsetzen. Er sei hier massgeblich auf ergotherapeutische Hilfsmittel angewiesen. Es sei auch undenkbar, dass er mit seiner</w:t>
      </w:r>
    </w:p>
    <w:p>
      <w:r>
        <w:t>rechten Hand ein Lenkrad sicher hal t en und die Instrumente bedienen k önne . E s werde zwar nicht bestritten, dass das Ausmass der Funktionseinschränkung an der rechten oberen Extremität bei ihm geringer ausfalle als bei einer vollständigen</w:t>
      </w:r>
    </w:p>
    <w:p>
      <w:r>
        <w:t>Armplexuslähmung . D ennoch sei aber daran fest zuhalten , dass er funktionell</w:t>
      </w:r>
    </w:p>
    <w:p>
      <w:r>
        <w:t>einarmig sei , was mit dem einseitigen Verlust einer Hand verglichen werden k önne. Daher sei von einem Integritätsschaden von 40 % aus zugehen . Hinzu komme die untere Extremität ,</w:t>
      </w:r>
    </w:p>
    <w:p>
      <w:r>
        <w:t>wobei das Schädigungs muster über eine reine Peronaeusparese mit resultierender Plegie der Fussheber hinaus</w:t>
      </w:r>
    </w:p>
    <w:p>
      <w:r>
        <w:t>gehe , welche in der Suva</w:t>
      </w:r>
    </w:p>
    <w:p>
      <w:r>
        <w:t>Tabelle 2.2 mit einem Integritätsschaden von 10</w:t>
      </w:r>
    </w:p>
    <w:p>
      <w:r>
        <w:t>% bemessen w erde . A n der rechten unteren Extremität bestünden eine spas tische Tonuserhöhung mit</w:t>
      </w:r>
    </w:p>
    <w:p>
      <w:r>
        <w:t>resultierender Spitzfusss t ellung und z udem sei die Kraft und Bewegungskontrolle bei</w:t>
      </w:r>
    </w:p>
    <w:p>
      <w:r>
        <w:t>Knieflexion und -ex t ension sowie die Ans t euer u ng im rechten Hüftgelenk signifikant reduziert ,</w:t>
      </w:r>
    </w:p>
    <w:p>
      <w:r>
        <w:t>sodass</w:t>
      </w:r>
    </w:p>
    <w:p>
      <w:r>
        <w:t>eine spastisch - ataktische Gangunsicherheit resultier e. D ie Funktionsbeeinträchtigung an der unteren</w:t>
      </w:r>
    </w:p>
    <w:p>
      <w:r>
        <w:t>Extremität entspr e che damit etwa einer hälftigen Gebrauchsunfähigkei t des Beines, was gemäss</w:t>
      </w:r>
    </w:p>
    <w:p>
      <w:r>
        <w:t>Suva-Tabelle 2.2 einem Integritätsschaden von 25 % entspr e che . Der gesamthafte Integritätsschaden betr age daher 65 %. 2.3</w:t>
      </w:r>
    </w:p>
    <w:p>
      <w:r>
        <w:t>Streitig und zu prüfen ist die Höhe der Integritätsentschädigung. 3. 3.1</w:t>
      </w:r>
    </w:p>
    <w:p>
      <w:r>
        <w:t>PD Dr. Z.___ führte am 14. September 2023 (Urk. 10/360) zu Händen der Beschwerdegegnerin zum Integritätsschadens aus, bei Status nach Zeckenstich und Vaskulitis assoziiertem untere m Hirnstamminfarkt im Bereich der Medulla oblongata linksseitig im Rahmen einer Neuroborreliose vom 8. Juni 2020 lieg e drei Jahre nach dem Ereignis nun ein stabilisierter Heil- und Funktionszustand vor. Dabei sei der Beschwerdeführer von einer durchgehenden spastischen Hemiparese von Arm, Hand , Bein und Fuss der rechten Seite betroffen. Er ha be dadurch ein eingeschränktes Gleichgewicht und deutlich eingeschränkte bimanuelle Fähigkeiten. Kognitive Defizite würden bei fehlender vaskulitischer Beteiligung des Grosshirns</w:t>
      </w:r>
    </w:p>
    <w:p>
      <w:r>
        <w:t>dagegen nicht vor liegen . Zuletzt habe</w:t>
      </w:r>
    </w:p>
    <w:p>
      <w:r>
        <w:t>er</w:t>
      </w:r>
    </w:p>
    <w:p>
      <w:r>
        <w:t>im Rahmen eines kurzstationären Aufenthaltes in der Klinik C.___ nochmals eine Verbesserung der Gehgeschwindigkeit erreichen können. D abei tr age er weiter eine Unterschenkelorthese wegen einer Fussheberschwäche rechts. Funktionell besteh e daher eine deutliche Gehbehinderung mit spastisch ataktischem Gangbild mit der</w:t>
      </w:r>
    </w:p>
    <w:p>
      <w:r>
        <w:t>Notwendigkeit , eine Unterschenkelorthese zu tragen und im Bereich des rechten Arms eine r Kraft- und</w:t>
      </w:r>
    </w:p>
    <w:p>
      <w:r>
        <w:t>Feinmotorikstörung . Die rechte ursprünglich dominante Hand k önne der Beschwerdeführer nur als schwache Haltehand einsetzen, auch wegen der starken Flexorenspastik der Finger.</w:t>
      </w:r>
    </w:p>
    <w:p>
      <w:r>
        <w:t>Der Integritätsschaden werde auf neurologischem Fachgebiet mit 40</w:t>
      </w:r>
    </w:p>
    <w:p>
      <w:r>
        <w:t>% einge schätzt. Zur Begründung könnten d ie rein motorischen Einschränkungen in Hand, Arm und Bein mit spastischer Hemiparese rechts mit deutlichen Einschrän kungen im Alltagsleben in Analogie mit den entsprechenden Suva-Tabellen zu den Extremitätenverletzungen respektive gemäss UVV, Artikel 36, Anhang 3 eingeschätzt werden. Ein sehr schweres motorisches Syndrom werde bei der Integritätsentschädigung dabei mit 80</w:t>
      </w:r>
    </w:p>
    <w:p>
      <w:r>
        <w:t>% beurteilt . V orliegend sei dieses als mittelschwer einzuschätzen und somit hälftig mit 40 % zu berücksichtigen respektive gemäss Tabelle 1 der Suva einer funktionell inkompletten unteren Plexuslähmung mit 17.5 % anstelle von 35 % w egen funktioneller Haltehand rechts und additiv dazu gemäss</w:t>
      </w:r>
    </w:p>
    <w:p>
      <w:r>
        <w:t>Beurteilung de r Tabelle 2 der Suva einer etwa hälftigen Gebrauchsunfähigkeit des Beines von maximal 25 % aufgrund der Gehbehinderung entsprechend .</w:t>
      </w:r>
    </w:p>
    <w:p>
      <w:r>
        <w:t>Die teils schmerzhafte Spastik der Fingerflexoren in der Hand rechts könne durch eine fokale Botuli numto xin-Therapie gut kompensiert werden. 3.2</w:t>
      </w:r>
    </w:p>
    <w:p>
      <w:r>
        <w:t>Dr. A.___ hielt in seiner Beurteilung vom 8. Januar 2024 (Urk. 10/395) zu Händen des Beschwerdeführers fest (S. 9 f.), bei der Schätzung des unfallbedingten Integritätsschadens habe PD Dr. Z.___ zwei verschiedene Ansätze gewählt. In einem ersten Ansatz sei er von einem mittelschweren motorischen Syndrom ausgegangen, wofür er mit 40 % die Hälfte des für ein sehr schweres motorisches Syndrom vorgesehenen Integritätsschadens von 80 % veranschlagt habe. In einem zweiten Ansatz habe er das Schädigungsbild an der rechten oberen Extremität mit einer funktionell inkompletten unteren Armplexuslähmung und dabei die Hälfte des Integritätsschadens für eine komplette untere Armplexus lähmung (17.5 % anstelle von 35 % gemäss Suva-Tabelle 1) und die Hälfte einer vollständigen Gebrauchsunfähigkeit der unteren Extremität (25 % anstelle von 50 % gemäss Suva Tabelle 2) zugrunde gelegt. B eide Ansätze würden zu unter schiedlichen Ergebnissen , 40 % und 42.5 % führen, was nicht überzeuge. Das Schädigungsbild beim Beschwerdeführer gehe über das Ausmass einer unteren Armplexuslähmung hinaus. Die</w:t>
      </w:r>
    </w:p>
    <w:p>
      <w:r>
        <w:t>Schulter- und Ellenbogengelenks - beweglichkeit sei ebenfalls eingeschränkt. Eine völlige</w:t>
      </w:r>
    </w:p>
    <w:p>
      <w:r>
        <w:t>Gebrauchsunfähigkeit der rechten oberen Extremität lieg e zwar nicht vor, aufgrund seiner</w:t>
      </w:r>
    </w:p>
    <w:p>
      <w:r>
        <w:t>funktionellen Einhändigkeit</w:t>
      </w:r>
    </w:p>
    <w:p>
      <w:r>
        <w:t>sei aber ein Integritätsschaden von 40 % gestützt auf Suva-Tabelle 3 Abb. 43</w:t>
      </w:r>
    </w:p>
    <w:p>
      <w:r>
        <w:t>gerechtfertigt.</w:t>
      </w:r>
    </w:p>
    <w:p>
      <w:r>
        <w:t>Was die Beeinträchtigung an der unteren Extremität betr effe , sehe die Suva-Tabelle 2 für die völlige</w:t>
      </w:r>
    </w:p>
    <w:p>
      <w:r>
        <w:t>Gebrauchsunfähigkeit einen Integritätsschaden von 50 % vor. Eine vollständige I schiadi k uslähmung , welche die</w:t>
      </w:r>
    </w:p>
    <w:p>
      <w:r>
        <w:t>Funktions ausfälle des N ervus</w:t>
      </w:r>
    </w:p>
    <w:p>
      <w:r>
        <w:t>tibialis und N ervus peroneus verein e , w erde mit 30</w:t>
      </w:r>
    </w:p>
    <w:p>
      <w:r>
        <w:t>% veranschlagt. Die Schätzung von PD Dr.</w:t>
      </w:r>
    </w:p>
    <w:p>
      <w:r>
        <w:t>Z.___</w:t>
      </w:r>
    </w:p>
    <w:p>
      <w:r>
        <w:t>sei mit 25 % diesbezüglich noch angemessen. D ie einzelnen Integritätsschäden seien zu addieren und d er unfallbedingte Integritätsschaden auf 65 % einzuschätzen (S. 1 1 ) . 3.3</w:t>
      </w:r>
    </w:p>
    <w:p>
      <w:r>
        <w:t>Im Bericht der Neuroimmunologie des Spitals B.___</w:t>
      </w:r>
    </w:p>
    <w:p>
      <w:r>
        <w:t>vom 14. März 2024 (Urk. 10/398) hielt die zuständige Oberärztin Dr. med. D.___ fest (S. 4), die geplante Zuweisung erfolge zur Prüfung der Fahreignung. Zuletzt sei die Vorstellung im Juli 2022 erfolgt und seither berichte der Beschwerdeführer von einem stabilen Verlauf. Er sei weiterhin rechtsseitig sehr eingeschränkt und habe eine Spastik der rechten Körperhälfte . E r habe bereits seit drei Jahren eine Botox-Therapie für die Spastik der rechtsseitigen Finger. Er bemerke darunter eine leichte Besserung der spastischen Beschwerden mit Entspannung der Finger. Er mache weiterhin Krafttraining, einmal wöchentlich sowie einmal wöchentlich Physiotherapie. Er wolle wieder Auto fahren, da er zuletzt vor vier Jahren Auto gefahren sei und die SVA eine neurologische Abklärung fordere. Bezüglich Motorik der Arme und Beine bestehe eine spastische Tonuserhöhung des rechten Arms und eine Spitzfussstellung rechts. Die Koordination FNV (Fingernasen versuch) sei zielsicher und metrisch, der KHV (Knie-Hacken-Versuch) rechts leicht dysmetrisch , die Eudiadochokinese links, rechts nicht prüfbar , d as Fingerspiel links sei gut und die Feinmotorik rechts nicht prüfbar. Betreffend Stand und Gang sei der Romberg sicher gestanden, der Tandemgang unsicher und das Gangbild bei Fussheberparese rechts erschwert (S. 5). Betreffend die Spastik an der rechten Hand zeige sich eine leichte Beschwerdebesserung. Klinisch-neurologisch sei der Beschwerdeführer allseits orientiert mit einer vorbekannten stabilen handbe tonten Hemiparese rechts mit spastischer Tonuserhöhung der rechten oberen Extremität sowie einer Feinmotorikstörung rechts und einer Fussheberparese rechts mit dadurch eingeschränktem Gangbild. In Zusammenschau der Befunde sei er aus neuropsychologischer Sicht zum Fahren geeignet. Aus neurologischer Sicht sei ein Fahren eines normalen Kraftfahrzeuges zum aktuellen Zeitpunkt nicht möglich, jedoch könne nach fachgerechtem Umbau des Autos eine Fahreignung erneut evaluiert werden (S. 6). 3.4</w:t>
      </w:r>
    </w:p>
    <w:p>
      <w:r>
        <w:t>In seiner Stellungnahme vom 4. Juli 2024 (Urk. 10/401 S. 2</w:t>
      </w:r>
    </w:p>
    <w:p>
      <w:r>
        <w:t>f. ) hielt PD Dr. Z.___</w:t>
      </w:r>
    </w:p>
    <w:p>
      <w:r>
        <w:t>fest, aus der detaillierten neurologischen Befundmitteilung des Spitals B.___ vom 15. März 2024 hinsichtlich der motorischen Kraftgrade der Hemiparese ergebe sich zweifelsfrei, dass weder eine funktionell relevante motorisch-sensorische Ein schränkung des rechten Arms in der Hebung, Streckung oder Beugung noch eine Plegie mit vollständiger Lähmung der Hand vorliege. Proximal bestünden im Arm fast eine vollständige Kraft mit Kraftgraden von M4/ M4 + in der Hebung des Arms gegen Widerstand und in der Beugung und Streckung mit nur minimaler Kraftminderung, die funktionell nicht relevant sei (Kraftgrad M5- von 5). In der funktionell dagegen relevant eingeschränkten Handfunktion rechts bestehe jedoch in der Fingerflexion ein noch funktionell bedeutsamer Kraftgrad von M3/5 bei zudem ungestörter Sensibilität, weswegen die Hand als Greif- und Haltehand, zum Beispiel auch zum Autofahren, objektiv eingesetzt werden könne. Eine funktionelle Einhändigkeit , von der Dr. A.___ ausgehe , und der Quervergleich mit einer vollständigen Funktionslosigkeit der Hand analog einer Handamputation könne daher nicht zutreffen. An der Einschätzung im Quervergleich eines nur hälftigen, weil mittelschweren anstelle eines sehr schweren motorischen Hemi syndroms mit einem Integritätsschaden von 80</w:t>
      </w:r>
    </w:p>
    <w:p>
      <w:r>
        <w:t>% gemäss UVV Anhang 3 Art. 2 und somit an einem Gesamtintegritätsschaden von 40 % sei damit festzuhalten. 3.5</w:t>
      </w:r>
    </w:p>
    <w:p>
      <w:r>
        <w:t>Am 14. August 2024 (Urk. 10/413) führte Dr. A.___ dazu aus, der neurologische Befund aus dem Spital B.___ bestätige nochmals die armbetonte spastische rechtsseitige Hemiparese. Es steche die aufgehobene Extension und Spreizung der Finger hervor und a ufgrund der durch die Botox-Therapie nur leicht gebesserten Spastik der rechten Hand könne</w:t>
      </w:r>
    </w:p>
    <w:p>
      <w:r>
        <w:t>von einem Fingerspiel nicht die Rede sein. Entsprechend sei eine Feinmotorikprüfung und die Durchführung der Diadochokinese an der rechten Hand bei der neurologischen Untersuchung nicht möglich gewesen. Ein Kraftgrad M3/5 sei bei der Fingerflexion funktionell irrelevant, da der Beschwerdeführer einen Gegenstand nicht aktiv loslassen könne. Die Fähigkeit , leichte Gegenstände mit der Hand und einzelnen Fingern zu halten , bedeute nicht, dass der Beschwerdeführer eine alltagsrelevante Greif- bzw. Haltefunktion der rechten oberen Extremität aufweise. Die Fingerbeweg lichkeit sei zwar nicht völlig aufgehoben, ein funktioneller Nutzen erg ebe sich daraus aber nicht. Das in der Ergotherapie 2022 erreichte Halten leichter Gegenstände lasse sich im Alltag nicht einsetzen und der Beschwerdeführer sei massgeblich auf ergotherapeutische Hilfsmittel angewiesen. Die Aussage von PD Dr. Z.___ , dass der Beschwerdeführer seine rechte obere Extremität als Greif- und Haltehand einsetzen könne, werde auch durch den neurologischen Befund von Dr. D.___ nicht gestützt. Es sei undenkbar, dass der Beschwerdeführer mit seiner rechten Hand ein Lenkrad sicher halten und die Instrumente bedienen könne. Dabei werde nicht bestritten, dass das Ausmass der Funktionsein schrän kung an der rechten oberen Extremität beim Beschwerdeführer geringer ausfalle als bei einer vollständigen Armplexuslähmung . Dennoch sei daran festzuhalten, dass er funktionell einarmig sei, was mit dem einseitigen Verlust einer Hand verglichen werden könne. Für die funktionelle Einschränkung an der rechten oberen Extremität sei daher</w:t>
      </w:r>
    </w:p>
    <w:p>
      <w:r>
        <w:t>von einem Integritätsschaden von 40 % a uszugehen und aufgrund einer etwa hälftigen Gebrauchsunfähigkeit des Beines , was gemäss Suva-Tabelle 2.2 einem Integritätsschaden von 25 % entspreche ,</w:t>
      </w:r>
    </w:p>
    <w:p>
      <w:r>
        <w:t>gesamthaft von einem Integritätsschaden von 65 %. 4.</w:t>
      </w:r>
    </w:p>
    <w:p>
      <w:r>
        <w:rPr>
          <w:b/>
        </w:rPr>
        <w:t>E. 4</w:t>
      </w:r>
    </w:p>
    <w:p>
      <w:r>
        <w:t>. April 20 20 über d ie</w:t>
      </w:r>
    </w:p>
    <w:p>
      <w:r>
        <w:t>Y.___ als gelernter Zimmermann angestellt und dadurch bei der Suva gegen die Folgen von Unfällen versichert . Am 8. Juni 2020 erlitt er einen Zeckenbiss und Folge dessen einen ischämischen Hirninfarkt mit N euroborreliose - assoziierter Vaskulitis</w:t>
      </w:r>
    </w:p>
    <w:p>
      <w:r>
        <w:t>und ein hochgradig motorisch betonte s</w:t>
      </w:r>
    </w:p>
    <w:p>
      <w:r>
        <w:t>Hemisyndrom</w:t>
      </w:r>
    </w:p>
    <w:p>
      <w:r>
        <w:t>(Urk. 10/1 und 10/</w:t>
      </w:r>
    </w:p>
    <w:p>
      <w:r>
        <w:rPr>
          <w:b/>
        </w:rPr>
        <w:t>E. 4.1</w:t>
      </w:r>
    </w:p>
    <w:p>
      <w:r>
        <w:t>Laut den medizinischen Akten steht fest und es ist unbestritten, dass der Beschwerdeführer infolge eines Zeckenstich s am 8. Juni 2020</w:t>
      </w:r>
    </w:p>
    <w:p>
      <w:r>
        <w:t>einen Hirn stamminfarkt im Rahmen einer Neuroborreliose erlitten hat. D rei Jahre nach dem Ereignis ist eine spastische Hemiparese von Arm, Hand Bein und Fuss an der rechten Körperseite verblieben, wodurch ein eingeschränktes Gleichgewicht und deutlich eingeschränkte bimanuelle Fähigkeiten bestehen. Dabei ist im Bereich der rechten unteren Extremität eine Fussheberschwäche</w:t>
      </w:r>
    </w:p>
    <w:p>
      <w:r>
        <w:t>aktenkundig ,</w:t>
      </w:r>
    </w:p>
    <w:p>
      <w:r>
        <w:t>sodass der Beschwerdeführer auf das Tragen eine r Unterschenkelorthese angewiesen ist und</w:t>
      </w:r>
    </w:p>
    <w:p>
      <w:r>
        <w:t>eine deutliche Gehbehinderung besteht. I m Bereich des rechten Arms wird eine Kraft- und Feinmotorikstörung verzeichnet .</w:t>
      </w:r>
    </w:p>
    <w:p>
      <w:r>
        <w:t>Aufschlussreich sind dazu</w:t>
      </w:r>
    </w:p>
    <w:p>
      <w:r>
        <w:t>die Untersuchungsbefunde gemäss de m letzten Bericht der Neuroimmunologie des Spitals B.___</w:t>
      </w:r>
    </w:p>
    <w:p>
      <w:r>
        <w:t>von Dr. D.___</w:t>
      </w:r>
    </w:p>
    <w:p>
      <w:r>
        <w:t>vom 14.</w:t>
      </w:r>
    </w:p>
    <w:p>
      <w:r>
        <w:t>März 2024 (vgl. E. 3.3 hiervor) . Mit Bezug darauf wurde von</w:t>
      </w:r>
    </w:p>
    <w:p>
      <w:r>
        <w:t>PD Dr. Z.___</w:t>
      </w:r>
    </w:p>
    <w:p>
      <w:r>
        <w:t>nachvollziehbar dar gelegt , dass aufgrund der Kraftgrad messungen</w:t>
      </w:r>
    </w:p>
    <w:p>
      <w:r>
        <w:t>die Einschrän kung beim Beschwerdeführer nicht mit einer Handamputation vergl ichen werden können . Denn v on einer vollständig funktionslosen rechten Hand bei erhaltener Greif- und Haltefunktion , wenn auch in vermindertem Umfang ,</w:t>
      </w:r>
    </w:p>
    <w:p>
      <w:r>
        <w:t>kann vorliegend nicht gesprochen werd e n . Bei den entsprechenden Kraftgradmessungen kann auch nicht auf eine funktionell irrelevante Handfunktion respektive auf eine funktionelle Einhändigkeit</w:t>
      </w:r>
    </w:p>
    <w:p>
      <w:r>
        <w:t>geschlossen werden . Der Beschwerdeführer bestreitet denn auch nicht , dass er mit der rechten Hand leichte Gegenstände ergreifen und halten kann , wenn auch in vermindertem Umfang . Die Angabe, dass er beim Loslassen der Gegenstände Schwierigkeiten respektive d as Handöffnen aktiv nicht möglich sei und er dazu die linke Hand benötig e ,</w:t>
      </w:r>
    </w:p>
    <w:p>
      <w:r>
        <w:t>begründet auch nicht, dass den verbleibenden</w:t>
      </w:r>
    </w:p>
    <w:p>
      <w:r>
        <w:t>Funktionen keine alltagsrelevante n Greif- bzw. Haltefunktio n zuzumessen wäre n und eine Situation analog eine r gänzlich fehlenden Hand vorliegt . Dabei kann PD Dr. Z.___</w:t>
      </w:r>
    </w:p>
    <w:p>
      <w:r>
        <w:t>auch darin gefolgt werden, dass</w:t>
      </w:r>
    </w:p>
    <w:p>
      <w:r>
        <w:t>einer solchen Auffassung auch die antispastische Botoxbehandlung</w:t>
      </w:r>
    </w:p>
    <w:p>
      <w:r>
        <w:t>an der rechten Hand hin sichtlich</w:t>
      </w:r>
    </w:p>
    <w:p>
      <w:r>
        <w:t>der erzielten Ergebnisse und deren Behandlungs bedürftigkeit</w:t>
      </w:r>
    </w:p>
    <w:p>
      <w:r>
        <w:t>als solche entgegensteht und dies nicht auf eine funktionslose rechte Hand schliessen l ässt .</w:t>
      </w:r>
    </w:p>
    <w:p>
      <w:r>
        <w:rPr>
          <w:b/>
        </w:rPr>
        <w:t>E. 4.2</w:t>
      </w:r>
    </w:p>
    <w:p>
      <w:r>
        <w:t>Gemäss Anhang 3 zur UVV (vgl. Art. 36 Abs. 2 UVV) ist für den Verlust einer Hand eine Integritätsentschädigung von 40 % und für den Verlust eines Fusses eine Integritätsentschädigung von 3 0 % vorgesehen. Völlige Gebrauchsunfähig keit eines Organs wird dem Verlust gleichgestellt. Bei teilweisem Verlust und bei teilweiser Gebrauchsunfähigkeit wird der Integritätsschaden entsprechend geringer</w:t>
      </w:r>
    </w:p>
    <w:p>
      <w:r>
        <w:t>(E. 1.3). F ür ein sehr schweres motorisches Syndrom ist von eine r Integritätsentschädigung von 8 0 % auszugehen .</w:t>
      </w:r>
    </w:p>
    <w:p>
      <w:r>
        <w:t>Ein Verlust der rechten Hand oder des rechten Fusses liegt beim Beschwerdeführer ausweislich der Akten nicht vor und nach den vorstehenden Ausführungen ist auch keine völlige Gebrauchsunfähigkeit an diese n Extremität en ausgewiesen. Mit Blick auf die neurologisch bedingten Ausfälle aufgrund der spastische n Hemiparese stellte</w:t>
      </w:r>
    </w:p>
    <w:p>
      <w:r>
        <w:t>PD Dr. Z.___</w:t>
      </w:r>
    </w:p>
    <w:p>
      <w:r>
        <w:t>daher zu Recht auf d en</w:t>
      </w:r>
    </w:p>
    <w:p>
      <w:r>
        <w:t>Integritätsschaden bei</w:t>
      </w:r>
    </w:p>
    <w:p>
      <w:r>
        <w:t>Vorliegen eines schweren motorische n Syndrom s</w:t>
      </w:r>
    </w:p>
    <w:p>
      <w:r>
        <w:t>ab und bewertete diese n , da nur eine Körperseite betreffend ,</w:t>
      </w:r>
    </w:p>
    <w:p>
      <w:r>
        <w:t>hälftig mit 40 %. Die Angaben plausibilisierte er im Quervergleich einerseits mit der Tabelle 1 der Suva Integritätsschaden bei Funktionsstörungen an den oberen Extremitäten bei Vorliegen einer unteren Plexuslähmung ,</w:t>
      </w:r>
    </w:p>
    <w:p>
      <w:r>
        <w:t>wobei er aufgrund der erhaltenen Funktionen an der Hand anstelle eines Werts von 35</w:t>
      </w:r>
    </w:p>
    <w:p>
      <w:r>
        <w:t>% die Hälfte ( 17.5 % )</w:t>
      </w:r>
    </w:p>
    <w:p>
      <w:r>
        <w:t>berücksichtigte . Anderseits zog er die Tabelle 2 der Suva Integritätsschaden bei Funktionsstörungen an den unteren Extremitäten hinzu und erachtete bei einem Wert von 50 % bei völliger</w:t>
      </w:r>
    </w:p>
    <w:p>
      <w:r>
        <w:t>Gebrauchsunfähigkeit eines Beines unter Berücksichtigung der Gehbehinderung ein en Wert von maximal 25 % für angebracht ,</w:t>
      </w:r>
    </w:p>
    <w:p>
      <w:r>
        <w:t>was additiv und im Quervergleich einen Wert von maximal 42.5 % gegenüber 40 % erg ibt .</w:t>
      </w:r>
    </w:p>
    <w:p>
      <w:r>
        <w:t>Soweit Dr. A.___ auf die Suva-Tabelle 3 Integritätsentschädigung bei einfachen oder kombinierten Finger-, Hand- und Armverlusten und Ab bildung 43 (Verlust einer Hand im Bereich des Handgelenks), wofür</w:t>
      </w:r>
    </w:p>
    <w:p>
      <w:r>
        <w:t>bereits ein Integritätsschaden von 4 0 % vor gesehen ist , abgestellt haben will, ist ihm nach den Ausführungen hiervor nicht zu folgen . Damit besteht kein Anlass, um von der nachvollziehbar und schlüssig begründeten Bezifferung durch PD Dr. Z.___ abzuweichen.</w:t>
      </w:r>
    </w:p>
    <w:p>
      <w:r>
        <w:t>4. 3</w:t>
      </w:r>
    </w:p>
    <w:p>
      <w:r>
        <w:t>Zusammenfassend ist die von PD Dr. Z.___ festgelegte Integritätseinbusse in Höhe von 4 0 % nicht zu beanstanden. Der angefochtene Einspracheentscheid vom 18 . Juli 2024 erweist sich damit als rechtens und die dagegen erhobene Beschwerde ist abzuweisen. Das Gericht erkennt: 1.</w:t>
      </w:r>
    </w:p>
    <w:p>
      <w:r>
        <w:t>Die Beschwerde wird abgewiesen. 2.</w:t>
      </w:r>
    </w:p>
    <w:p>
      <w:r>
        <w:t>Das Verfahren ist kostenlos. 3.</w:t>
      </w:r>
    </w:p>
    <w:p>
      <w:r>
        <w:t>Zustellung gegen Empfangsschein an: - Rechtsanwalt Ivo Baumann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r>
        <w:rPr>
          <w:b/>
        </w:rPr>
        <w:t>E. 5</w:t>
      </w:r>
    </w:p>
    <w:p>
      <w:r>
        <w:t>1). D ie Suva gewährte Kostengutsprache n für Heilbehandlungen und Hilfsmittel ( stationäre und ambulante neurologische R eha bilitation , Ergotherapie, Physiotherapie ,</w:t>
      </w:r>
    </w:p>
    <w:p>
      <w:r>
        <w:t>Botoxbehandlung , Orthesen [ Urk. 10/70 , 10/ 14 6, 10/168 , 10/299 , 10/324 , 10/341, 10/344, 10/348, 10/353 ] ) .</w:t>
      </w:r>
    </w:p>
    <w:p>
      <w:r>
        <w:t>Die Invali denversicherung sprach dem Versicherten Integrationsmassnahmen i n Form von Aufbautraining , berufliche n Abklärungen , Coaching, Praktika</w:t>
      </w:r>
    </w:p>
    <w:p>
      <w:r>
        <w:t>und eine Umschu lung zum Sozialpädagogen HF</w:t>
      </w:r>
    </w:p>
    <w:p>
      <w:r>
        <w:t>zu (Urk. 10/180, 10/235, 10/238, 10/278, 10/315 , 10/337 , 10/397 ) .</w:t>
      </w:r>
    </w:p>
    <w:p>
      <w:r>
        <w:t>Nach Vorlage des Falls an ihren versicherungsmedizinischen Dienst (Urk. 10/360), teilte die Suva dem Versicherten am 3. Oktober 2023 den Fallabschluss sowie die Zusprache einer Integritätsentschädigung von Fr. 59'280.-- basierend auf einer Integritätseinbusse von 40 % mit (Urk. 10/368). Mit Verfügung vom 26. Oktober 2023 sprach sie die entsprechende Integritätsentschädigung zu (Urk. 10/385). Die d agegen erhobene Einsprache vom 17. November 2023 (Urk. 10/390, 10/394 und 10/395) wies die Suva, nachdem sie den Fall erneut ihrem versicherungsme di zinischen Dienst unterbreitet hatte (vgl. Urk. 10/401) , mit Entscheid vom 18. Juli 2024 (Urk. 2) ab. 2. Am 27. A ugust 202 4 erhob der Versicherte Beschwerde gegen den Einsprache entscheid vom 1</w:t>
      </w:r>
    </w:p>
    <w:p>
      <w:r>
        <w:rPr>
          <w:b/>
        </w:rPr>
        <w:t>E. 8</w:t>
      </w:r>
    </w:p>
    <w:p>
      <w:r>
        <w:t>Ok tober 2024 mitgeteilt wurde (Urk.</w:t>
      </w:r>
    </w:p>
    <w:p>
      <w:r>
        <w:rPr>
          <w:b/>
        </w:rPr>
        <w:t>E. 12</w:t>
      </w:r>
    </w:p>
    <w:p>
      <w:r>
        <w:t>). Im Rahmen des zweiten Schriften wechsels (Urk. 14 und Urk. 20) hielten die Parteien an den gestellten Anträgen fest. Die Wahrung des rechtlichen Gehörs erfolgte am 3. Dezember 2024 (Urk.</w:t>
      </w:r>
    </w:p>
    <w:p>
      <w:r>
        <w:t>22).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