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UV.2024.00018 vom 14. August 2025</w:t>
      </w:r>
    </w:p>
    <w:p>
      <w:r>
        <w:t>ZH Sozialversicherungsgericht, 2025-08-14, DE</w:t>
      </w:r>
    </w:p>
    <w:p>
      <w:r>
        <w:rPr>
          <w:b/>
        </w:rPr>
        <w:t xml:space="preserve">Quelle: </w:t>
      </w:r>
      <w:r>
        <w:t>https://mcp.opencaselaw.ch/entscheid/zh_sozialversicherungsgericht_UV.2024.00018</w:t>
      </w:r>
    </w:p>
    <w:p>
      <w:r>
        <w:t>FR: ZH_SOZIALVERSICHERUNGSGERICHT UV.2024.00018 du 14 août 2025</w:t>
      </w:r>
    </w:p>
    <w:p>
      <w:r>
        <w:t>IT: ZH_SOZIALVERSICHERUNGSGERICHT UV.2024.00018 del 14 agosto 2025</w:t>
      </w:r>
    </w:p>
    <w:p>
      <w:pPr>
        <w:pStyle w:val="Heading2"/>
      </w:pPr>
      <w:r>
        <w:t>Erwägungen</w:t>
      </w:r>
    </w:p>
    <w:p>
      <w:r>
        <w:rPr>
          <w:b/>
        </w:rPr>
        <w:t>E. 1</w:t>
      </w:r>
    </w:p>
    <w:p>
      <w:r>
        <w:t>X.___ , geboren 1981, war seit dem 1 3. September 1999 als Kranführer bei der Y.___ AG, Z.___ , angestellt und damit bei der Suva obligato risch unfallversichert. Gemäss Bagatellunfall-Meldung UVG vom 2 6. Mai 2023 verletzte sich der Versicherte am 2 0. Mai 2023 (richtig: am 2 0. April 2023) am rechten Arm, als er beim Abtrennen von Balkonplatten diesen überdehnte, im Sinne einer Zerrung ( Urk. 7/1 Ziff. 3-4, Ziff.</w:t>
      </w:r>
    </w:p>
    <w:p>
      <w:r>
        <w:rPr>
          <w:b/>
        </w:rPr>
        <w:t>E. 1.1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 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 schreitet. Ausschlaggebend ist also, dass sich der äussere Faktor vom Normalmass an Umwelteinwirkungen auf den menschlichen Körper abhebt. Ungewöhnliche Auswirkungen allein begründen keine Ungewöhnlichkeit (BGE 142 V 219 E. 4.3.1 mit Hinweisen, 134 V 72 E. 4.1 und E. 4.3.1 mit Hinweis; vgl. Urteil des Bundes gerichts 8C_368/2020 vom 17. September 2020 E. 4.2 mit Hinweisen).</w:t>
      </w:r>
    </w:p>
    <w:p>
      <w:r>
        <w:rPr>
          <w:b/>
        </w:rPr>
        <w:t>E. 1.3</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(BGE 130 V 117 E. 2.1). Dies trifft beispielsweise dann zu, wenn die versicherte Person stolpert, ausgleitet oder an einem Gegenstand anstösst, oder wenn sie, um ein Ausgleiten zu verhindern, eine reflexartige Abwehrhaltung aus führt oder auszuführen versucht (Urteil des Bundesgerichts 8C_24/2022 vom 20. September 2022 E. 3.2 mit Hinweisen) .</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 scheinlichkeit rein krankheitsbedingter Ursachen besteht (vgl. BGE 134 V 72 E. 4.3.2.1 und 99 V 136 E. 1, je mit Hinweisen; Urteile des Bundesgerichts 8C_305/2022 vom 13. April 2023 E. 3.2 und 8C_589/2021 vom 17. Dezember 2021 E. 5.4, je mit Hinweisen).</w:t>
      </w:r>
    </w:p>
    <w:p>
      <w:r>
        <w:rPr>
          <w:b/>
        </w:rPr>
        <w:t>E. 1.4</w:t>
      </w:r>
    </w:p>
    <w:p>
      <w:r>
        <w:t>Gemäss Art. 6 Abs. 2 UVG erbringt die Versicherung ihre Leistungen auch bei folgenden Körperschädigungen, sofern sie nicht vorwiegend auf Abnützung oder Erkrankung zurückzuführen sind: Knochenbrüche ( lit . a); Verrenkungen von Gelen ken ( lit . b), Meniskusrisse ( lit . c), Muskelrisse ( lit . d), Muskelzerrungen ( lit . e), Sehnenrisse ( lit . f), Bandläsionen ( lit . g) und Trommelfellverletzungen ( lit . h).</w:t>
      </w:r>
    </w:p>
    <w:p>
      <w:r>
        <w:t>Diese Aufzählung der den Unfällen gleichgestellten Körperschädigungen ist abschlies send (BGE 146 V 51 E. 7.1 sowie BGE 116 V 136 E. 4a, 147 E. 2b, je mit Hinweisen).</w:t>
      </w:r>
    </w:p>
    <w:p>
      <w:r>
        <w:rPr>
          <w:b/>
        </w:rPr>
        <w:t>E. 1.5</w:t>
      </w:r>
    </w:p>
    <w:p>
      <w:r>
        <w:t>Gemäss BGE 146 V 51 hat der Unfallversicherer nach Meldung einer Listenver letzung gemäss Art. 6 Abs. 2 UVG in der seit 1. Januar 2017 geltenden Fassung die genauen Begleitumstände abzuklären. Ist die Listenverletzung auf ein Unfall ereignis im Sinne von Art. 4 ATSG zurückzuführen, so ist der Unfallversicherer solange leistungspflichtig, bis der Unfall nicht mehr die natürliche und adäquate Ursache darstellt, der Gesundheitsschaden also nur noch und ausschliesslich auf unfallfremden Ursachen beruht. Sind hingegen nicht sämtliche Kriterien des Unfall begriffs nach Art. 4 ATSG erfüllt, so wird der Unfallversicherer für eine Listenverletzung nach Art. 6 Abs. 2 UVG grundsätzlich leistungspflichtig, sofern er nicht den Nachweis dafür erbringt, dass die Verletzung vorwiegend auf Abnüt zung oder Erkrankung zurückzuführen ist (E. 9.1). Der Entlastungsbeweis des Unfall versicherers ist erbracht, wenn die Listendiagnose zu mehr als 50 % auf Abnützung oder Erkrankung beruht (E. 8.2.2.1, E. 8.6; vgl. auch Urteil des Bundes gerichts 8C_462/2022 vom 22. Februar 2023 E. 4.1.1).</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Das Anstellungs verhältnis einer versicherungsinternen Fachperson zum Versicherungs träger alleine lässt nicht schon auf mangelnde Objektivität und Befan 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 2.1</w:t>
      </w:r>
    </w:p>
    <w:p>
      <w:r>
        <w:t>Die Beschwerdegegnerin erwog in ihrem Entscheid ( Urk. 2), dass, nachdem am 2 0. April 2023 kein ungewöhnlicher, plötzlicher, äusserer Faktor zur Körperschä digung des Beschwerdeführers beigetragen habe, ein Unfall im Sinne von Art. 4 ATSG zu R echt verneint worden sei (S. 4 Ziff. 4.1-3).</w:t>
      </w:r>
    </w:p>
    <w:p>
      <w:r>
        <w:t>Gemäss MRI des rechten Ellbogengelenks vom 7. Juli 2023 leide der Beschwerde führer an einer Epicondylitis</w:t>
      </w:r>
    </w:p>
    <w:p>
      <w:r>
        <w:t>radialis mit mittelgradiger Partialruptur der gemein samen Extensorensehnen . Da es sich dabei um eine Teilruptur der Sehnenanteile für die Extensoren an deren Ursprung am Humerusepicondylus des Ellbogens handle, sei zwar vom Vorliegen eines Sehnenrisses im Sinne von Art.</w:t>
      </w:r>
    </w:p>
    <w:p>
      <w:r>
        <w:rPr>
          <w:b/>
        </w:rPr>
        <w:t>E. 6</w:t>
      </w:r>
    </w:p>
    <w:p>
      <w:r>
        <w:t>Abs. 2 UVG, neu entscheidet. Die Beschwerde ist in dem Sinne gutzuheissen. Das Gericht erkennt: 1.</w:t>
      </w:r>
    </w:p>
    <w:p>
      <w:r>
        <w:t>Die Beschwerde wird in dem Sinne gutgeheissen, dass der angefochtene Einsprache entscheid vom 1 0. Januar 2024 aufgehoben und die Sache an die Beschwerdegegnerin zurückgewiesen wird, damit diese, nach erfolgter Abklärung im Sinne der Erwägungen, über den Leistungsanspruch des Beschwerdeführers neu entscheide.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