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UV.2023.00118 vom 5. Juni 2024</w:t>
      </w:r>
    </w:p>
    <w:p>
      <w:r>
        <w:t>ZH Sozialversicherungsgericht, 2024-06-05, DE</w:t>
      </w:r>
    </w:p>
    <w:p>
      <w:r>
        <w:rPr>
          <w:b/>
        </w:rPr>
        <w:t xml:space="preserve">Quelle: </w:t>
      </w:r>
      <w:r>
        <w:t>https://mcp.opencaselaw.ch/entscheid/zh_sozialversicherungsgericht_UV.2023.00118</w:t>
      </w:r>
    </w:p>
    <w:p>
      <w:r>
        <w:t>FR: ZH_SOZIALVERSICHERUNGSGERICHT UV.2023.00118 du 5 juin 2024</w:t>
      </w:r>
    </w:p>
    <w:p>
      <w:r>
        <w:t>IT: ZH_SOZIALVERSICHERUNGSGERICHT UV.2023.00118 del 5 giugno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198</w:t>
      </w:r>
    </w:p>
    <w:p>
      <w:r>
        <w:rPr>
          <w:b/>
        </w:rPr>
        <w:t>E. 1.2</w:t>
      </w:r>
    </w:p>
    <w:p>
      <w:r>
        <w:t>Am 3. Januar 2018 zog sich die Versicherte eine Kontusion am rechten Fersen bein (Calcaneus) zu , als sie vor dem Laden Z.___</w:t>
      </w:r>
    </w:p>
    <w:p>
      <w:r>
        <w:t>in A.___</w:t>
      </w:r>
    </w:p>
    <w:p>
      <w:r>
        <w:t>stehend bei starkem Wind vor einem umstürzenden Mammutbaum zur Seite springen musste</w:t>
      </w:r>
    </w:p>
    <w:p>
      <w:r>
        <w:t>( Urk. 10/1 , 10/5 und Urk. 10/12 ). Für das Zweitereignis gewährte d ie Suva ebenfalls Leistungen ( Heilbehandlung ). Dazu unterbreitete sie die medizinischen Unterlagen mehrfach ihrer Abteilung für Versicherungsmedizin ( Urk. 10/35 und Urk. 10/38/2) und liess eine kreisärztliche Untersuchung durchführen (Bericht vom 1 9. September 2019 [ Urk. 10/107 ]).</w:t>
      </w:r>
    </w:p>
    <w:p>
      <w:r>
        <w:t>D ie IV-Stelle erteilte in der Folge Kostengutsprache für eine Potentialabklärung für die Zeit vom 1 5. Oktober bis 3</w:t>
      </w:r>
    </w:p>
    <w:p>
      <w:r>
        <w:rPr>
          <w:b/>
        </w:rPr>
        <w:t>E. 6</w:t>
      </w:r>
    </w:p>
    <w:p>
      <w:r>
        <w:t>, schloss eine Berufsausbildung mit Fähig keitszeugnis als Fachangestellte Gesundheit (FaGe) ab ( Urk. 11/62/21) und war in verschiedenen Bereichen, als Pflegeassistentin, Springerin in einer Kinderkrippe und als Tagesmutter tätig ( Urk. 11/62/5). Z uletzt war sie von September 2015 bis Mai 2016 in einem 80 % Pensum als FaGe in der Residenz</w:t>
      </w:r>
    </w:p>
    <w:p>
      <w:r>
        <w:t>Y.___</w:t>
      </w:r>
    </w:p>
    <w:p>
      <w:r>
        <w:t>angestellt , wobei das Arbeitsverhältnis krankheitsbedingt durch den Betrieb gekündigt wurde ( Urk. 11/30/1 und Urk. 10/213/10 ). Ab 15.</w:t>
      </w:r>
    </w:p>
    <w:p>
      <w:r>
        <w:t>August 2015 erfüllte sie die Anspruchs v oraussetzungen zum Bezug von Arbeitslosentaggelder n und war damit bei der Suva obligatorisch gegen die Folgen von Unfällen versichert. Mit Schadenmeldung vom 1. Februar 2017 ( Urk. 1 1 /1) wurde der Suva mitgeteilt , dass sich d ie Versicherte am 1 5. J anuar 201</w:t>
      </w:r>
    </w:p>
    <w:p>
      <w:r>
        <w:rPr>
          <w:b/>
        </w:rPr>
        <w:t>E. 7</w:t>
      </w:r>
    </w:p>
    <w:p>
      <w:r>
        <w:t>an der rechten Schulter verletzt habe, als sie beim Schlitteln gestürzt und nach vorne mit der Schulter auf den Schlitten geprallt sei ( Urk.</w:t>
      </w:r>
    </w:p>
    <w:p>
      <w:r>
        <w:rPr>
          <w:b/>
        </w:rPr>
        <w:t>E. 11</w:t>
      </w:r>
    </w:p>
    <w:p>
      <w:r>
        <w:t>/1). Die Suva gewährte die gesetzlichen</w:t>
      </w:r>
    </w:p>
    <w:p>
      <w:r>
        <w:t>Leistungen (Heilbehandlung und Taggeld). Ein Gesuch um Leistungen der Eidgenössischen Invalidenversicherung, welches die Versicherte bereits</w:t>
      </w:r>
    </w:p>
    <w:p>
      <w:r>
        <w:t>am 24.</w:t>
      </w:r>
    </w:p>
    <w:p>
      <w:r>
        <w:t>Mai 2016 bei der SVA</w:t>
      </w:r>
    </w:p>
    <w:p>
      <w:r>
        <w:t>Graubünden , IV-Stelle, gestellt hatte, wies die se</w:t>
      </w:r>
    </w:p>
    <w:p>
      <w:r>
        <w:t>mit Verfügung vom 2 4. März 2017 ab ( Urk. 10/213/27-28).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