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UV.2023.00113 vom 28. März 2024</w:t>
      </w:r>
    </w:p>
    <w:p>
      <w:r>
        <w:t>ZH Sozialversicherungsgericht, 2024-03-28, DE</w:t>
      </w:r>
    </w:p>
    <w:p>
      <w:r>
        <w:rPr>
          <w:b/>
        </w:rPr>
        <w:t xml:space="preserve">Quelle: </w:t>
      </w:r>
      <w:r>
        <w:t>https://mcp.opencaselaw.ch/entscheid/zh_sozialversicherungsgericht_UV.2023.00113</w:t>
      </w:r>
    </w:p>
    <w:p>
      <w:r>
        <w:t>FR: ZH_SOZIALVERSICHERUNGSGERICHT UV.2023.00113 du 28 mars 2024</w:t>
      </w:r>
    </w:p>
    <w:p>
      <w:r>
        <w:t>IT: ZH_SOZIALVERSICHERUNGSGERICHT UV.2023.00113 del 28 marzo 2024</w:t>
      </w:r>
    </w:p>
    <w:p>
      <w:pPr>
        <w:pStyle w:val="Heading2"/>
      </w:pPr>
      <w:r>
        <w:t>Erwägungen</w:t>
      </w:r>
    </w:p>
    <w:p>
      <w:r>
        <w:rPr>
          <w:b/>
        </w:rPr>
        <w:t>E. 1</w:t>
      </w:r>
    </w:p>
    <w:p>
      <w:r>
        <w:t>. März 2022 schätzte</w:t>
      </w:r>
    </w:p>
    <w:p>
      <w:r>
        <w:t>Dr. med. C.___ , Facha rzt für Allgemeinmedizin (D), den Integritätsschaden auf 15 % (Urk. 8/287) ; er bestätigte ausserdem , dass von einem medizinischen End zustand auszugehen sei (Urk. 8/28</w:t>
      </w:r>
    </w:p>
    <w:p>
      <w:r>
        <w:rPr>
          <w:b/>
        </w:rPr>
        <w:t>E. 1.1</w:t>
      </w:r>
    </w:p>
    <w:p>
      <w:r>
        <w:t>X.___ , geboren 1989, war ab 17. Juli 2014 als Hauswart bei der Y.___ GmbH mit Sitz in Z.___ angestellt; er amtete auch als Vorsitzender der Geschäftsleitung der Gesellschaft (vgl. Urk. 10). X.___ war bei der Suva gegen die Folgen von Berufs- und Nichtberufsunfällen versichert, als er am 24. Juni 2020 beim Reinigen eines Glasvordachs mit einem Hochdruck reiniger ausrutschte und auf das Glasdach fiel, wodurch dieses zersprang und sich der Versicherte an der linken Hand verletzte (Urk. 8/1).</w:t>
      </w:r>
    </w:p>
    <w:p>
      <w:r>
        <w:t>Der Versicherte musste sich noch am Unfalltag einem operativen Eingriff im Kantonsspital A.___ unterziehen , wo eine tiefe Schnittverletzung am palmaren mittleren Unterarm links (mit diversen Durchtrennungen von Nerven und Blutgefässen) sowie oberflächliche Schnittverletzungen am rechten Oberarm diagnostiziert wurden (Urk. 8/2).</w:t>
      </w:r>
    </w:p>
    <w:p>
      <w:r>
        <w:rPr>
          <w:b/>
        </w:rPr>
        <w:t>E. 1.1.1</w:t>
      </w:r>
    </w:p>
    <w:p>
      <w:r>
        <w:t>Erleidet die versicherte Person durch den Unfall eine dauernde erhebliche Schädigung der körperlichen, geistigen oder psychischen Integrität, so hat sie Anspruch auf eine angemessene Integritätsentschädigung (Art. 24 Abs. 1 des Bundesgesetzes über die Unfallversicherung [ UVG ] ).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Beeinträch tigung festgesetzt. Die Gesamtentschädigung darf den Höchstbetrag des ver sicherten Jahresverdienstes nicht übersteigen und bereits nach dem Gesetz bezogene Entschädigungen werden prozentual angerechnet (Abs. 3). Voraus sehbare Verschlimmerungen des Integritätsschadens werden angemessen berück sichtigt. Revisionen sind nur im Ausnahmefall möglich, wenn die Verschlimmerung von grosser Tragweite ist und nicht voraussehbar war (Abs. 4).</w:t>
      </w:r>
    </w:p>
    <w:p>
      <w:r>
        <w:rPr>
          <w:b/>
        </w:rPr>
        <w:t>E. 1.1.2</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Integritätsschäden entspricht die Ent schädigung im Regelfall dem angegebenen Prozentsatz des Höchstbetrages des versicherten Verdienstes (Ziff. 1 Abs. 1). Die Entschädigung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 schaden entsprechend geringer, wobei die Entschädigung jedoch ganz entfällt, wenn der Integritätsschaden weniger als 5 % des Höchstbetrages des versicherten Verdienstes ergäbe (Ziff. 2).</w:t>
      </w:r>
    </w:p>
    <w:p>
      <w:r>
        <w:rPr>
          <w:b/>
        </w:rPr>
        <w:t>E. 1.1.3</w:t>
      </w:r>
    </w:p>
    <w:p>
      <w:r>
        <w:t>Die Medizinische Abteilung der Suva hat in Weiterentwicklung der bundesrätlichen Skala weitere Bemessungs grundlagen in tabellarischer Form (sog. Feinraster) erarbeitet. Diese von der Ver waltung herausgegebenen Tabellen stellen zwar keine Rechtssätze dar und sind für das Gericht nicht verbindlich, umso weniger als Ziff. 1 Abs. 1 von Anhang 3 zur UVV bestimmt, der in der Skala angegebene Prozentsatz des Integritäts schadens gelte im Regelfall, welcher im Einzelfall Abweichungen nach unten wie nach oben ermöglicht. Soweit sie jedoch lediglich Richtwerte enthalten, mit denen die Gleichbehandlung aller Versicherten gewährleistet werden soll, sind sie mit dem Anhang 3 zur UVV vereinbar (BGE 124 V 29 E. 1c, 116 V 156 E. 3a; Urteil des Bundesgerichts 8C_316/2022 vom 31. Januar 2023 E. 6.1.1 mit Hin weisen).</w:t>
      </w:r>
    </w:p>
    <w:p>
      <w:r>
        <w:rPr>
          <w:b/>
        </w:rPr>
        <w:t>E. 1.2</w:t>
      </w:r>
    </w:p>
    <w:p>
      <w:r>
        <w:t>In der Folge richtete die Suva Taggeld- und Heilbehandlungsleistungen aus. Dabei kam es zwischen dem Versicherten und der Suva zu einer Auseinandersetzung betreffend Höhe des Taggeldes, die mit Urteil des Sozialversicherungsgerichts vom 30. November 2022 (Prozess Nr. UV.2022.00120 [Urk. 8/356]) erledigt wurde.</w:t>
      </w:r>
    </w:p>
    <w:p>
      <w:r>
        <w:rPr>
          <w:b/>
        </w:rPr>
        <w:t>E. 1.2.1</w:t>
      </w:r>
    </w:p>
    <w:p>
      <w:r>
        <w:t>Die Leistungspflicht eines Unfallver sicherers gemäss UVG setzt voraus, dass zwischen dem Unfallereignis und dem eingetretenen Schaden (Krankheit, Invalidität, Tod) ein natürlicher Kausalzusam menhang besteht. Ursachen im Sinne des natürlichen Kausalzusammenhangs sind alle Umstände, ohne deren Vorhandensein der eingetretene Erfolg nicht als ein 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1.2.2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der Experten begründet sind (BGE 134 V 231 E. 5.1, 125 V 351 E. 3a mit Hinweis; Urteil des Bundesgerichts 8C_385/2023 vom 30. November 2023 E. 4.2.1). 2. 2.1</w:t>
      </w:r>
    </w:p>
    <w:p>
      <w:r>
        <w:t>Die Beschwerdegegnerin führte zur Begründung des angefochtenen Einsprache entscheids (Urk. 2) im Wesentlichen aus, dass sich die zugesprochene Integritäts entschädigung von 15 % auf die Beurteilung von Dr. C.___ vom 31. März</w:t>
      </w:r>
    </w:p>
    <w:p>
      <w:r>
        <w:t>2022 abstütze. Er habe sich bei der Einschätzung des Integritätsschadens der anlässlich des Unfalls vom 24. Juni 2020 erlittenen Verletzungen (tiefe Schnitt verletzung mit Durchtrennung der radialen und ulnaren Arterien, des Nervus medianus, Ramus superficialis</w:t>
      </w:r>
    </w:p>
    <w:p>
      <w:r>
        <w:t>nervi</w:t>
      </w:r>
    </w:p>
    <w:p>
      <w:r>
        <w:t>radialis und anteilig des Nervus</w:t>
      </w:r>
    </w:p>
    <w:p>
      <w:r>
        <w:t>ulnaris sowie mehrerer Sehnen und operativer rekonstruktiver Versorgung, aber persistierenden sensiblen Störungen im Bereich des Nervus</w:t>
      </w:r>
    </w:p>
    <w:p>
      <w:r>
        <w:t>ulnaris , medianus und Ramus super ficialis</w:t>
      </w:r>
    </w:p>
    <w:p>
      <w:r>
        <w:t>nervi</w:t>
      </w:r>
    </w:p>
    <w:p>
      <w:r>
        <w:t>radialis links) an die Suva-Tabelle 1 ( I ntegritätsschaden bei Funkti onsstörungen an den oberen Extremitäten) angelehnt. Diese Tabelle sehe für eine proximale Ulnarislähmung einen Wert von 15 % und für eine distale Ulnaris lähmung einen solchen von 10 % vor. Nach Auffassung von Dr. C.___ betrage der Integritätsschaden insgesamt aber nicht 25 %, sondern angesichts der moto risch wieder guten funktionellen Entwicklung und der im Vordergrund stehenden sensiblen Störungen lediglich 15 %. Dieser Wert entspreche dabei im Quer vergleich einer schweren Handgelenksarthrose beziehungsweise einer Arthrodese des Handgelenks gemäss Tabelle 5 und sei insofern angemessen und bereits grosszügig bemessen . D er abweichende n Einschätzung von Dr. med. D.___ , Fach arzt FMH für Neurologie, der eine Integritätsentschädigung von 20 % für ange messen gehalten habe, sei nicht zu folgen. Dr. D.___ s Einschätzung sei undiffe renziert und überzeuge nicht. Demgegenüber könne die Beurteilung von Dr. C.___ in jeder Hinsicht überzeugen (S. 5 f.).</w:t>
      </w:r>
    </w:p>
    <w:p>
      <w:r>
        <w:t>Im Rahmen des vorliegenden Prozesses hielt die Beschwerdegegnerin an dieser Sichtweise fest und ergänzte, dass auch PD Dr. med. E.___ , stellvertretender Direktor der Klinik für Plastische Chirurgie und Handchirurgie des Universitäts spitals F.___ , in seiner Beurteilung vom 14. Februar 2022 zum Schluss gekom men sei , dass vorliegend ein Integritätsschaden von 10 bis 15 % ausgewiesen sei. Ein vollständiger Verlust beider Nerven würde mit 25 % abgegolten werden. Am 4. Mai 2022 habe PD Dr. E.___ seine Einschätzung bestätigt. Damit stimmten die versicherungsinterne Einschätzung von Dr. C.___ und die versicherungs externe Beurteilung von PD Dr. E.___ überein (Urk. 7 S. 4). 2.2</w:t>
      </w:r>
    </w:p>
    <w:p>
      <w:r>
        <w:t>Demgegenüber liess der Beschwerdeführer im Wesentlichen vortragen (Urk. 1), dass Dr. C.___ Arzt für Allgemeinmedizin (D) sei, Dr. D.___ , der die interne versicherungsmedizinische Einschätzung kritisiere, hingegen Facharzt für Neuro logie. Dr. D.___ habe seine divergierende Einschätzung des Integritätsschadens damit begründet, dass der Beschwerdeführer bei seiner letzten Untersuchung vom 7. Juni 2023, folglich mehr als zwei Monate nach der Aktenbegutachtung durch Dr. C.___ , festgestellt habe, dass eine mittelschwere Parese der vom Musculus medianus versorgten Handbinnenmuskulatur vorliege. Im Weiteren sei gemäss Dr. D.___ die Aussage von Dr. C.___ , dass motorisch wieder eine gute funk tionelle Entwicklung vorliege, fragwürdig. Diesbezüglich falle auf, dass Dr. C.___ in seiner Beurteilung vom 30. März 2022 selbst einleitend ausführe, dass eigentlich eine Integritätseinbusse von 25 % vorliege, aber aufgrund der guten funktionellen Entwicklung die Einbusse tiefer einzuordnen sei. Somit bestünden aufgrund der Ausführungen von Dr. D.___ mindestens geringe Zweifel an der Einschätzung von Dr. C.___ . Zudem erschliess e sich nicht, weshalb die Integritätseinbusse gemäss Dr. C.___ aufgrund der im Vordergrund stehenden sensiblen Störungen tiefer einzuordnen sei. Massgebend sei einzig die Tabelle 1, anhand der Dr. C.___ eigentlich schon selbst auf 25 % gekommen sei, und nicht die Frage, ob sensible Störungen im Vordergrund stünden. Im Übrigen sei die Auffassung der Beschwerdegegnerin, wonach Dr. D.___ den Beschwerdeführer nicht untersucht habe, nachweislich falsch; Dr. D.___ habe seine Einschätzung des Integritätsschadens auf die Untersuchung vom 7. Juni 2023 gestützt. Demgegen über sei die medizinische Beurteilung von Dr. C.___ mehr als zwei Monate älter und stützte sich auf keine eigene Untersuchung, sondern lediglich auf die Akten. Somit sei auf die medizinische Einschätzung von Dr. D.___ abzustellen und von einer Integritätseinbusse von mindestens 20 % auszugehen (S. 5 f.). 2.3</w:t>
      </w:r>
    </w:p>
    <w:p>
      <w:r>
        <w:t>Strittig und zu prüfen ist, ob der Beschwerdeführer Anspruch auf eine Integri tätsentschädigung von mehr als 15 % hat. 3.</w:t>
      </w:r>
    </w:p>
    <w:p>
      <w:r>
        <w:t>Nachfolgend werden aus den umfassenden medizinischen Akten nur diejenigen Berichte wiedergegeben, die Aufschluss über die einzig noch umstrittene Frage betreffend Höhe der erlittenen Integritätseinbusse geben können beziehungsweise sich mit dieser Frage beschäftigen. 3.1</w:t>
      </w:r>
    </w:p>
    <w:p>
      <w:r>
        <w:t>Dr. D.___ hielt in seinem Bericht vom 22. November 2021 (Urk. 8/323) fest, dass sich aktuell im Vergleich zu seiner Erstuntersuchung vom 19. Februar 2021 sowohl klinisch als auch elektrophysiologisch eine leichte Erholung der senso motorischen Defizite des Nervus medianus und des Nervus</w:t>
      </w:r>
    </w:p>
    <w:p>
      <w:r>
        <w:t>ulnaris links zeigten, nicht aber des Ramus superficialis Nervi radialis links. Insgesamt sei das Ausmass des Nervenheilprozesses seit Februar 2021 ernüchternd, dies umso mehr als gut 16 Monate nach den Nervenoperationen von einem Endzustand ausgegangen werden müsse. 3.2</w:t>
      </w:r>
    </w:p>
    <w:p>
      <w:r>
        <w:t>PD Dr. E.___ äusserte sich in seinem Bericht vom 14. Februar 2022 (Urk. 8/288/37-38) dahingehend, dass es bei dieser komplexen Schnittverletzung immer zwei Probleme gebe, einerseits die Schmerzen, andererseits die Hand funktion. Die Handfunktion sei eigentlich nicht so schlecht, zwar mit Sicherheit nicht 100 %, aber der Nervus medianus habe sich offensichtlich gut erholt (Sensibilität und Kapandji 9). Der Nervus</w:t>
      </w:r>
    </w:p>
    <w:p>
      <w:r>
        <w:t>ulnaris sei mindestens im Bereich der intrinsischen Muskulatur, da die Sensibilität weiterhin vermindert sei. Damit könne man sagen, dass bei den zwei Nerven zusammen ein Integritätsverlust von 10 15 % ausgewiesen sei (bei vollständigem Verlust beider Nerven würde ein Integritätsschaden von 25 % vorliegen). Die Finger- und Handgelenksfunktion sei ebenfalls nicht 100%ig, aber ausreichend für eine mittelschwere Arbeit. 3. 3</w:t>
      </w:r>
    </w:p>
    <w:p>
      <w:r>
        <w:t>Am 2 4. und 25. Februar 2022 fanden in der Rehaklinik B.___</w:t>
      </w:r>
    </w:p>
    <w:p>
      <w:r>
        <w:t>Tests zur Evaluierung der funktionellen Leistungsfähigkeit des Beschwerdeführers statt. Die dipl. Physiotherapeutin FH G.___ , Assistenzarzt H.___ und der leitende Arzt Dr. med. I.___ , Facharzt für Physikalische Medizin und Reha bilitation , führten in ihrem Bericht vom 14. März 2022 (Urk. 8/282/2-16) aus, dass etwa eineinhalb Jahre nach dem Unfall [ vom 24. Juni 2020] mit einer komplizierten Schnittverletzung am palmaren Unterarm links, die zu einer Durch trennung von mehreren Sehnen, Arterien und Nervenstrukturen geführt habe (operativ versorgt), noch folgende Beschwerden bestünden: 1.</w:t>
      </w:r>
    </w:p>
    <w:p>
      <w:r>
        <w:t>Intermittierend ruhe- und belastungsverstärkte Schmerzen linke Hand 2.</w:t>
      </w:r>
    </w:p>
    <w:p>
      <w:r>
        <w:t>Hypästhesie distaler linker Unterarm und linke Hand (N. Ulnaris gebiet weniger betroffen) 3.</w:t>
      </w:r>
    </w:p>
    <w:p>
      <w:r>
        <w:t>Intermittierende belastungsbedingt auftretende Kribbelparästhesien Dig . II und III der linken Hand 4.</w:t>
      </w:r>
    </w:p>
    <w:p>
      <w:r>
        <w:t>Feinmotorikstörung linke Hand , erschwertes Greifen kleiner Gegen stände</w:t>
      </w:r>
    </w:p>
    <w:p>
      <w:r>
        <w:rPr>
          <w:b/>
        </w:rPr>
        <w:t>E. 1.4</w:t>
      </w:r>
    </w:p>
    <w:p>
      <w:r>
        <w:t>Mit Verfügung vom 12. April 2023 (Urk. 8/367) sprach die Suva dem Versicherten eine auf einer Integritätseinbusse von 15 % basierende Integritätsentschädigung von Fr. 22'230. zu. Gleichzeitig brachte die Suva eine Taggeldrückforderung von Fr. 11'062.20 zur Verrechnung. Die dagegen erhobene Einsprache (Urk. 8/372) wies die Suva mit Entscheid vom 31. Juli 2023 (Urk. 2) ab. 2.</w:t>
      </w:r>
    </w:p>
    <w:p>
      <w:r>
        <w:t>Dagegen liess der Versicherte mit Eingabe vom 4. August 2023 (Urk. 1) Beschwerde erheben mit folgenden Anträgen: 1.</w:t>
      </w:r>
    </w:p>
    <w:p>
      <w:r>
        <w:t>Es seien der Einsprache-Entscheid vom 31. Juli 2023 und die darauf gestützte Verfügung vom 12. April 2023 aufzuheben. 2.</w:t>
      </w:r>
    </w:p>
    <w:p>
      <w:r>
        <w:t>Es sei dem Beschwerdeführer eine Integritätsentschädigung von mindestens 20 % zuzusprechen. 3.</w:t>
      </w:r>
    </w:p>
    <w:p>
      <w:r>
        <w:t>Eventualiter sei die Beschwerdegegnerin zu verpflichten, eine Begutachtung (Art. 44 ATSG) für die Ermittlung des Integritäts schadens in Auftrag zu geben.</w:t>
      </w:r>
    </w:p>
    <w:p>
      <w:r>
        <w:t>Alles unter Kosten- und Entschädigungsfolgen zuzüglich Mw S t . zu Lasten Beschwerdegegnerin.</w:t>
      </w:r>
    </w:p>
    <w:p>
      <w:r>
        <w:t>Die Suva schloss in ihrer Beschwerdeantwort vom 31. August 2023 (Urk. 7) auf Abweisung der Beschwerde, was dem Versicherten mitgeteilt wurde (vgl. Urk. 9).</w:t>
      </w:r>
    </w:p>
    <w:p>
      <w:r>
        <w:t>Auf die Ausführungen der Parteien ist, soweit für die Entscheidfindung erforder lich, in den Erwägungen einzugehen. Das Gericht zieht in Erwägung: 1.</w:t>
      </w:r>
    </w:p>
    <w:p>
      <w:r>
        <w:rPr>
          <w:b/>
        </w:rPr>
        <w:t>E. 5</w:t>
      </w:r>
    </w:p>
    <w:p>
      <w:r>
        <w:t>Extensionsdefizit Dig . II und III der linken Hand</w:t>
      </w:r>
    </w:p>
    <w:p>
      <w:r>
        <w:rPr>
          <w:b/>
        </w:rPr>
        <w:t>E. 6</w:t>
      </w:r>
    </w:p>
    <w:p>
      <w:r>
        <w:t>Reduzierte Handkraft links</w:t>
      </w:r>
    </w:p>
    <w:p>
      <w:r>
        <w:rPr>
          <w:b/>
        </w:rPr>
        <w:t>E. 7</w:t>
      </w:r>
    </w:p>
    <w:p>
      <w:r>
        <w:t>Etwas reduzierte Allgemeinkondition</w:t>
      </w:r>
    </w:p>
    <w:p>
      <w:r>
        <w:t>Im Rahmen der Evaluation der funktionellen Leistungsfähigkeit habe der Beschwerdeführer in den Belastungstests im Wesentlichen eine gute Leistungs bereitschaft gezeigt. Auf der Verhaltensebene sei aufgrund des Schmerzerlebens und der Selbsteinschätzung der körperlichen Belastbarkeit insgesamt eine mässige Symptomausweitung festzustellen gewesen. Gesamthaft betrachtet könne man aufgrund der somatischen Diagnosen sowie der klinischen und radiologischen Befunde die derzeit noch geltend gemachten Beschwerden und Funktionseinschränkungen in Bezug auf den linken Unterarm und d ie linke Hand in ihren Lokalisationen und in der Intensität nur teilweise erklären. Das Ausmass der empfundenen Einschränkungen dürfte durch ein dysfunktionales Umgangs- und Bewältigungsmuster der Beschwerden im Rahmen einer mässigen Symptom ausweitung überlagert sein. Angesichts der ausgeschöpften handchirurgischen Massnahmen sei keine namhafte Verbesserung des jetzigen Zustandes mehr zu erwarten. 3. 4</w:t>
      </w:r>
    </w:p>
    <w:p>
      <w:r>
        <w:t>Dr. C.___ schätzte in seinem Bericht vom 31. März 2022 (Urk. 8/287) den Integritätsschaden auf 15 %. Zur Begründung führte er aus, dass gemäss Suva-Tabelle 1 «Integritätsschaden bei Funktionsstörungen an den oberen Extremitäten» eine vollständige Schädigung mit einer Lähmung des Nervus</w:t>
      </w:r>
    </w:p>
    <w:p>
      <w:r>
        <w:t>ulnaris distal mit 10 % und des Medianus mit 15 %, also gesamtheitlich mit 25 % bewertet würden. In Anbetracht der hier aber motorisch wieder guten funktionellen Entwicklung und de r im Vordergrund stehenden sensiblen Störungen sei der vorliegende Schaden dementsprechend tiefer einzuordnen. Der gewählte Wert entspreche dabei im Quervergleich einer schweren Hand - gelenksarthrose beziehungsweise einer Arthrodese des Handgelenks gemäss Tabelle 5 «Integritätsschaden bei Arthrosen» und sei insofern angemessen und bereits grosszügig bemessen. 3.5</w:t>
      </w:r>
    </w:p>
    <w:p>
      <w:r>
        <w:t>Prof. Dr. E.___ hielt in seinem Bericht vom 4. Mai 2022 (Urk. 8/303) fest , dass der Beschwerdeführer mindestens eine Schutzsensibilität im Bereich des Nervus medianus und eine leicht eingeschränkte Sensibilität im Bereich des Nervus</w:t>
      </w:r>
    </w:p>
    <w:p>
      <w:r>
        <w:t>ulnaris habe. Zudem liege eine eingeschränkte Finger- und Handbeweglichkeit vor. Die Kraft betrage 20 kg (auf der gesunden dominanten Gegenseite: 25 kg). 3.6</w:t>
      </w:r>
    </w:p>
    <w:p>
      <w:r>
        <w:t>Am 11. Mai 2023 erklärte Dr. D.___ , dass der Beschwerdeführer bei der letzten Untersuchung vom 7. Juni 2023 eine doch mittelschwere Parese der vom Nervus medianus versorgten Handbinnenmuskulatur gezeigt habe. Er würde daher nicht unbedingt von einer «motorisch wieder guten funktionellen Entwicklung» sprechen wollen. Unter Berücksichtigung auch der motorischen Einbusse wäre seines Erachtens ein Integritätsschaden von 20 % angemessener (Urk. 3/8). 4. 4.1</w:t>
      </w:r>
    </w:p>
    <w:p>
      <w:r>
        <w:t>Die Beschwerdegegnerin stützte sich bei ihrem Entscheid betreffend Höhe der auszurichtenden Integritätsentschädigung auf die Einschätzung von Dr. C.___ vom 31. März 2022, die oben in E. 3.4 zusammengefasst wiedergegeben wurde. Dr. C.___</w:t>
      </w:r>
    </w:p>
    <w:p>
      <w:r>
        <w:t>ging bei</w:t>
      </w:r>
    </w:p>
    <w:p>
      <w:r>
        <w:t>seine r Schätzung der Integritätseinbusse von d er Suva-Tabelle 1 «Integritätsentschädigung gemäss UVG» aus . Er entnahm dieser Tabelle die Werte für eine Ulnarislähmung distal und eine Medianuslähmung distal von 1 0 % beziehungsweise 1 5 % und erklärte den Umstand, dass er diese beiden Werte nicht addierte, sondern insgesamt lediglich eine Integritätsei n busse von 15 % erkannte , damit, dass motorisch wieder eine gute funktionelle Entwicklung vorliege. Zudem würde ein Integritätsschaden von 15 % im Quervergleich de m jenigen entsprechen, der für eine schwere Handgelenksarthrose beziehungsweise einer Arthrodese des Handgelenks</w:t>
      </w:r>
    </w:p>
    <w:p>
      <w:r>
        <w:t>g emäss Tabelle 5 «Integritätsentschädigung bei Arthrosen» zur Anwendung komme.</w:t>
      </w:r>
    </w:p>
    <w:p>
      <w:r>
        <w:t>Neben der guten funktionellen Entwicklung berücksichtigte Dr. C.___ bei seiner Schätzung die persistierenden sensiblen Störungen im Bereich des Nervi ulnaris und medianus und des Ramus super ficialis</w:t>
      </w:r>
    </w:p>
    <w:p>
      <w:r>
        <w:t>nervi</w:t>
      </w:r>
    </w:p>
    <w:p>
      <w:r>
        <w:t>radialis links , die bleibende linkshändige Einschränkung der Fein motorik, eine geminderte Haltefunktion und die Wetterfühligkeit. Auch flossen die belastungsabhängigen sowie teils intermittierenden Ruheschmerzen in seine Schätzung mit ein, wobei er die im Rahmen der Evalu a tion der funktionellen Leistungsfähigkeit konstatierten Hinweise auf eine mässige Symptomausweitung ( Urk. 8/282/7) mitberücksichtigte ( Urk. 8/287) , was nicht zu beanstanden ist.</w:t>
      </w:r>
    </w:p>
    <w:p>
      <w:r>
        <w:t>Diese Schätzung wurde im Wesentlichen von Prof. Dr. E.___ bestätigt, der - wie ausgeführt - Werte von 10 % bis 15 % nannte , dabei ebenfalls von einer nicht schlechten Handfunktion und einer guten Erholung zumindest des Nervus medi anus ausging (vgl. oben E. 3.2). Letztlich wird die Schätzung von Dr. C.___ bis zu einem gewissen Grad auch durch Dr. D.___ , auf den sich der Beschwerde führer beruft, gestützt. Dr. D.___ widersprach der Einschätzung von Dr. C.___ nämlich nicht grundsätzlich, sondern vertrat lediglich die Auffassung, dass die funktionelle Entwicklung des Beschwerdeführers nicht so gut sei, wie von Dr. C.___ angenommen worden sei, weshalb die Annahme einer Integritäts einbusse von 20 % «angemessener» sei.</w:t>
      </w:r>
    </w:p>
    <w:p>
      <w:r>
        <w:t>Aus medizinischer Sicht besteht demzufolge vorliegend ein Expertenstreit zwischen Dr. C.___ und Dr. D.___ über die Frage , ob es angemessener sei, von einer Integritätseinbusse von 15 % oder von 20 % auszugehen. Es versteht sich von selbst, dass es sich dabei um eine reine Ermessensfrage handelt, die entweder strenger oder grosszügiger beantwortet werden kann. Dies liegt in der Natur der Sache einer jede n Schätzung, insbesondere auch der Schätzung der erlittenen Integritätseinbusse. 4.2</w:t>
      </w:r>
    </w:p>
    <w:p>
      <w:r>
        <w:t>Aus juristischer Sicht ist Folgendes zu beachten: Bei der Schätzung der Einbusse der Integrität handelt es sich um einen Ermessensentscheid (vgl. Urteil des Bundesgerichts 8C_520/2007 vom 18.</w:t>
      </w:r>
    </w:p>
    <w:p>
      <w:r>
        <w:t>April 2008 E.</w:t>
      </w:r>
    </w:p>
    <w:p>
      <w:r>
        <w:t>4). Das Gericht hat daher lediglich zu prüfen, ob die Beschwerdegegnerin ihren Entscheid im Einklang mit den allgemeinen Rechtsprinzipien getroffen hat. Der Sozialversicherungsrichter darf dabei sein Ermessen nicht ohne triftigen Grund anstelle desjenigen der Ver waltung setzen; das Gericht muss sich somit auf Gegebenheiten abstützen können, welche seine abweichende Ermessensausübung als naheliegender erscheinen lassen. Auch ist den Bestrebungen der Verwaltung b eziehungsweise der Versicherer Rechnung zu tragen, die darauf abzielen, durch interne Weisungen, Richtlinien, Tabellen, Skalen und so weiter eine rechtsgleiche Behandlung der Versicherten zu gewährleisten (BGE 114 V 315 E.</w:t>
      </w:r>
    </w:p>
    <w:p>
      <w:r>
        <w:t>5a mit Hin weisen).</w:t>
      </w:r>
    </w:p>
    <w:p>
      <w:r>
        <w:t>Im Lichte dieser Praxis erscheint es vorliegend weder angezeigt noch rechtmässig, den Ermessensentscheid der Beschwerdegegnerin, der in Respektierung der für die Bemessung der Integritätsentschädigung geltenden Normen und Tabellen getroffen wurde, durch einen eigenen, davon abweichenden Ermessensentscheid zu ersetzen. Mit anderen Worten haben die Beschwerdegegnerin beziehungsweise Dr. C.___ ihr Ermessen nicht rechtsfehlerhaft ausgeübt, weshalb kein Anlass besteht , gestützt auf die nur leicht höhere Schätzung von Dr. D.___ in das Ermessen der Beschwerdegegnerin einzugreifen. 4.3</w:t>
      </w:r>
    </w:p>
    <w:p>
      <w:r>
        <w:t>Auch soweit der Beschwerde führer beantragen liess, es sei die Frage nach der Höhe der Integritätseinbusse gutachterlich zu klären, ist ihm nicht zu folgen. Die medizinischen Fragen sind nämlich vorliegend geklärt. Es geht lediglich um Schätzungen und - wie ausgeführt - letztlich um eine reine Ermessensfrage. Der Rahmen der möglichen Integritätseinbusse ist durch die involvierten medi zinischen Experten abgesteckt: 10-15 % (Prof. Dr. E.___ ), 15 % ( Dr. C.___ ) und 20 % ( Dr. D.___ ). Eine weitere Begutachtung würde lediglich zu einer weiteren Schätzung beziehungsweise Ermessensentscheidung führen; es wurde aber bereits unter E. 4.2 dargelegt, weshalb nicht in das Ermessen der Beschwerdegegnerin einzugreifen ist.</w:t>
      </w:r>
    </w:p>
    <w:p>
      <w:r>
        <w:t>Weiter ist auch der Einwand des Beschwerdeführers, dass ja auch Dr. C.___ ursprünglich auf eine Integritätsentschädigung von 25 % gekommen sei, nicht stichhaltig. Die einzelnen Tabellenwerte sind nicht ohne Weiteres zu kumulieren, sondern - wie von Dr. C.___ korrekt vorgenommen - gesamthaft zu schätzen</w:t>
      </w:r>
    </w:p>
    <w:p>
      <w:r>
        <w:t>( Art. 36 Abs. 3 UVV). Massgeblich ist die medizinisch-theoretische Beeinträchti gung der körperlichen oder geistigen Integrität (Urteil des Bundesgerichts 8C_756/20 1</w:t>
      </w:r>
    </w:p>
    <w:p>
      <w:r>
        <w:rPr>
          <w:b/>
        </w:rPr>
        <w:t>E. 9</w:t>
      </w:r>
    </w:p>
    <w:p>
      <w:r>
        <w:t>vom 1 1. Februar 2020 E. 4.2) . Diesbezüglich dient auch der von Dr. C.___ vorgenommene Quervergleich (Arthrose beziehungsweise Arthro dese) zur weiteren Plausibilisierung seiner Schätzung und wies bereits PD</w:t>
      </w:r>
    </w:p>
    <w:p>
      <w:r>
        <w:t>Dr. E.___ zutreffend darauf hin, dass eine Kumulation der beiden Tabellen werte lediglich bei einem vollständigem Verlust beider Nerven angezeigt wäre, sich aber zumindest der Nervus medianus gut erholt ha t (E. 3.2) . 4.4</w:t>
      </w:r>
    </w:p>
    <w:p>
      <w:r>
        <w:t>Aus dem Gesagten folgt, dass der von der Beschwerdegegnerin gestützt auf die Einschätzung von Dr. C.___ getroffene E rmessensentscheid, dem Beschwerde führer eine Integritätsentschädigung aufgrund einer Integritätseinbusse von 15 % auszurichten, nicht zu beanstanden ist. Demzufolge ist die Beschwerde abzu weisen. Das Gericht erkennt: 1.</w:t>
      </w:r>
    </w:p>
    <w:p>
      <w:r>
        <w:t>Die Beschwerde wird abgewiesen. 2.</w:t>
      </w:r>
    </w:p>
    <w:p>
      <w:r>
        <w:t>Das Verfahren ist kostenlos. 3.</w:t>
      </w:r>
    </w:p>
    <w:p>
      <w:r>
        <w:t>Zustellung gegen Empfangsschein an: - Rechtsanwalt Jonas Steiner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