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UV.2023.00037 vom 13. November 2023</w:t>
      </w:r>
    </w:p>
    <w:p>
      <w:r>
        <w:t>ZH Sozialversicherungsgericht, 2023-11-13, DE</w:t>
      </w:r>
    </w:p>
    <w:p>
      <w:r>
        <w:rPr>
          <w:b/>
        </w:rPr>
        <w:t xml:space="preserve">Quelle: </w:t>
      </w:r>
      <w:r>
        <w:t>https://mcp.opencaselaw.ch/entscheid/zh_sozialversicherungsgericht_UV.2023.00037</w:t>
      </w:r>
    </w:p>
    <w:p>
      <w:r>
        <w:t>FR: ZH_SOZIALVERSICHERUNGSGERICHT UV.2023.00037 du 13 novembre 2023</w:t>
      </w:r>
    </w:p>
    <w:p>
      <w:r>
        <w:t>IT: ZH_SOZIALVERSICHERUNGSGERICHT UV.2023.00037 del 13 novembre 2023</w:t>
      </w:r>
    </w:p>
    <w:p>
      <w:pPr>
        <w:pStyle w:val="Heading2"/>
      </w:pPr>
      <w:r>
        <w:t>Erwägungen</w:t>
      </w:r>
    </w:p>
    <w:p>
      <w:r>
        <w:rPr>
          <w:b/>
        </w:rPr>
        <w:t>E. 1</w:t>
      </w:r>
    </w:p>
    <w:p>
      <w:r>
        <w:t>X.___ , geboren 1984, ist bei der Z .___ als Polizeibeamter angestellt und dadurch bei der Unfallversicherung Y.___</w:t>
      </w:r>
    </w:p>
    <w:p>
      <w:r>
        <w:t>gegen die Folgen von Unfällen versichert ( Urk. 9/G1). Am 9. März 2022 stürzte er beim Skifahren . Dabei verletzte er sich an</w:t>
      </w:r>
    </w:p>
    <w:p>
      <w:r>
        <w:t>der linke n Schulter ( Urk. 9/G1, Urk. 9/G8 ). Die Unfall versicherung Y.___</w:t>
      </w:r>
    </w:p>
    <w:p>
      <w:r>
        <w:t>kam zunächst für die Heilbehandlung auf und richtete Taggelder aus.</w:t>
      </w:r>
    </w:p>
    <w:p>
      <w:r>
        <w:t>Gestützt auf die Beurteilung ihres beratenden Arztes Dr. med. A.___ , Facharzt für Orthopädie und Traumatologie des Bewegungsapparates, vom 3 1. Juli 2022 ( Urk. 9/M12) stellte die Unfallversicherung Y.___ mit Verfügung vom 8. August 2022 die Versicherungsleistungen rückwirkend per 2 0. April 2022 ein. Auf eine Rückforderung bereits erbrachter Leistungen verzichtete sie ( Urk. 9/G25). Die dagegen erhobene Einsprache ( Urk. 9/J2) wies sie mit Entscheid vom 3 0. Januar 2023 ab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 stellt hätte (Status quo sine), erreicht ist. Ebenso wie der leistungs - 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Dagegen erhob X.___ am 3. März 2023 Beschwerde und beantragte, die Unfallversicherung Y.___ sei zu verpflichten, ihm weiterhin die gesetzlichen Leistungen auszurichten, eventualiter sei eine gerichtliche medizi nische Expertise einzuholen, subeventualiter sei die Sache zur weiteren medizi nischen Abklärung an die Vorinstanz zurückzuweisen ( Urk. 1 S. 2). Die Unfallversicherung Y.___ schloss in der Beschwerdeantwort vom 2 5. April 2023 auf Abweisung der Beschwerde ( Urk. 8). Im Rahmen des zweiten Schriften wechsels hielten die Parteien an ihren Anträgen fest ( Urk. 13, Urk. 17). Das Gericht zieht in Erwägung: 1.</w:t>
      </w:r>
    </w:p>
    <w:p>
      <w:r>
        <w:rPr>
          <w:b/>
        </w:rPr>
        <w:t>E. 2.1</w:t>
      </w:r>
    </w:p>
    <w:p>
      <w:r>
        <w:t>Streitig und zu prüfen ist die Leistungspflicht der Beschwerdegegnerin über den 2 0. April 2022 hinaus im Zusammenhang mit den Beschwerden an der linken Schulter.</w:t>
      </w:r>
    </w:p>
    <w:p>
      <w:r>
        <w:rPr>
          <w:b/>
        </w:rPr>
        <w:t>E. 2.2</w:t>
      </w:r>
    </w:p>
    <w:p>
      <w:r>
        <w:t>Die Beschwerdegegnerin begründete den angefochtenen Entscheid damit, dass auf die medizinische Beurteilung ihres beratenden Arztes Dr. A.___ abgestellt werden könne. Unfallkausale strukturelle Läsionen seien keine nachgewiesen. Beim Unfall vom 9. März 2022 habe der Beschwerdeführer eine Prellung erlitten. Sech s Wochen danach sei der S tatus quo sine erreicht gewesen. Die vom Beschwerdeführer ab dem 2 0. April 2022 geltend gemachten Beschwerden im Bereich der linken Schulter seien somit mit überwiegender Wahrscheinlichkeit nicht mehr auf das Unfallereignis zurückzuführen ( Urk. 2). Mit der Beschwerde antwort vom 2 5. April 2023 reichte die Beschwerdegegnerin den undatierten , jedoch von ihr während des laufenden Verfahrens veranlassten Bericht ihres beratenden Arztes Prof. Dr. med. B.___ , Facharzt für Orthopädische Chirurgie und Traumatologie des Bewegungsapparates, ein. Gestützt darauf erklärte sie, dass die intraoperativen Befunde vom 2 3. August 2022 nicht auf den Unfall vom 9. März 2022 zurückzuführen, sondern vorbestehend seien ( Urk. 8, vgl. auch Urk. 9/M18).</w:t>
      </w:r>
    </w:p>
    <w:p>
      <w:r>
        <w:rPr>
          <w:b/>
        </w:rPr>
        <w:t>E. 2.3</w:t>
      </w:r>
    </w:p>
    <w:p>
      <w:r>
        <w:t>Demgegenüber machte der Beschwerdeführer beschwerdeweise im Wesentlichen geltend, bereits auf d em</w:t>
      </w:r>
    </w:p>
    <w:p>
      <w:r>
        <w:t>Arthro -MRI der linken Schulter vom 1 5. Juni 2022 sei ein Bizepslabrumkomplex Typ II ersichtlich gewesen. Die Operation vom 2 3. August 2022 habe schliesslich gezeigt, dass eine Ablösung der Gelenkkapsel von der knöchernen Schulterpfanne, eine sogenannte Bankart-Verletzung, vorliege. Der behandelnde Arzt Dr. med. C.___ , F acharzt für</w:t>
      </w:r>
    </w:p>
    <w:p>
      <w:r>
        <w:t>Chirurgie, habe nachvollziehbar dargelegt, dass es sich dabei um eine Folge des Unfalls vom 9. März 2022 handle. Den Beurteilungen von Dr. A.___ und Prof. Dr. B.___</w:t>
      </w:r>
    </w:p>
    <w:p>
      <w:r>
        <w:t>könne nicht gefolgt werden. In Bezug auf den Bericht von Prof. Dr. B.___ sei zudem festzuhalten, dass dessen Einholung gegen das Prinz ip des Devolutiv effekts verstossen</w:t>
      </w:r>
    </w:p>
    <w:p>
      <w:r>
        <w:t>habe ,</w:t>
      </w:r>
    </w:p>
    <w:p>
      <w:r>
        <w:t>und der Bericht sei daher aus de m Recht zu weisen ( Urk. 1, Urk. 13).</w:t>
      </w:r>
    </w:p>
    <w:p>
      <w:r>
        <w:rPr>
          <w:b/>
        </w:rPr>
        <w:t>E. 3.1</w:t>
      </w:r>
    </w:p>
    <w:p>
      <w:r>
        <w:t>Vorab ist zu prüfen, ob d as Prinzip des Devolutiveffekt s der Beschwerde d er Einholung der vom beratenden Arzt Prof .</w:t>
      </w:r>
    </w:p>
    <w:p>
      <w:r>
        <w:t>Dr. B.___ verfassten Aktenbeurtei lung en t gegenstand .</w:t>
      </w:r>
    </w:p>
    <w:p>
      <w:r>
        <w:rPr>
          <w:b/>
        </w:rPr>
        <w:t>E. 3.2</w:t>
      </w:r>
    </w:p>
    <w:p>
      <w:r>
        <w:t>Der Beschwerde als ordentliches Rechtsmittel kommt nach Art. 56 ff. des Bundesgesetzes über das Sozialversicherungsgericht ( ATSG ) Devolutiveffekt zu. Die formgültige Beschwerdeerhebung begründet (zusammen mit der Beschwerde antwort des Versicherungsträgers) demnach grundsätzlich die alleinige Zustän digkeit des kantonalen Gerichts, über das in der angefochtenen Verfügung (bzw. im angefochtenen Einspracheentscheid ) geregelte Rechtsverhältnis zu entschei den. Somit verliert der Versicherungsträger die Herrschaft über den Streitgegen stand, und zwar insbesondere auch in Bezug auf die tatsächlichen Verfügungs- und Entscheidungsgrundlagen (Urteil des Bundesgerichts 8C_410/2013 vom 1 5. Januar 2014 E. 5.2). Gemäss bundesgerichtlicher Rechtsprechung dienen die erwähnten Regelungen dem Gebot der Einfachheit und Raschheit des Verfahrens ( Art. 61 lit . a ATSG). Daraus ergibt sich, dass im erstinstanzlichen Beschwerde verfahren eine Sachverhaltsvervollständigung durch die Verwaltung im Rahmen punktueller Abklärungen rechtsprechungsgemäss in aller Regel noch zulässig ist, wohingegen umfassendere Abklärungen wie eine medizinische Begutachtung mit Mitwirkung der versicherten Person oder vergleichbare zeitraubende Beweismas snahmen den Rahmen sprengen (Urteil des Bundesgerichts 8C_410/2013 vom 1 5. Januar 2014 E. 5.4).</w:t>
      </w:r>
    </w:p>
    <w:p>
      <w:r>
        <w:rPr>
          <w:b/>
        </w:rPr>
        <w:t>E. 3.3</w:t>
      </w:r>
    </w:p>
    <w:p>
      <w:r>
        <w:t>D ie Beschwerdegegnerin verwies im angefochtenen Einspracheentscheid zur Beantwortung der Frage, ob der medizinische Endzustand erreicht sei, auf die Stellungnahmen von Dr. A.___ . I n der Beschwerdeantwort stützte sie sich dann auf den von ihr zwischenzeitlich eingeholten Bericht von Prof .</w:t>
      </w:r>
    </w:p>
    <w:p>
      <w:r>
        <w:t>Dr. B.___ . Dazu sah sie sich veranlasst, weil der Beschwerdeführer mit der Beschwerde den Bericht von Dr. C.___ vom 2 8. Februar 2023 eingereicht hatte (vgl. dazu Urk. 1</w:t>
      </w:r>
    </w:p>
    <w:p>
      <w:r>
        <w:rPr>
          <w:b/>
        </w:rPr>
        <w:t>E. 8</w:t>
      </w:r>
    </w:p>
    <w:p>
      <w:r>
        <w:t>S. 3) , im MRI vom 1 8. März 2022 habe sich kein Hämatom, kein Bon e</w:t>
      </w:r>
    </w:p>
    <w:p>
      <w:r>
        <w:t>Bruise und auch keine andere frische Verletzung gezeigt. Komme es zu einer frischen Verletzung des Labrums würden in der Regel Blutgefässe führende Strukturen zerreissen. Das in der Regel dann austretende Blut wirke wie ein Kontrastmittel und fliesse überwiegend wahrscheinlich zwischen das Labrum und das Glenoid und mache damit eine frische Labrumläsion in der Regel gut sichtbar. Auch das Fehlen einer Hill-Sachs-Läsion oder zumin d est eines</w:t>
      </w:r>
    </w:p>
    <w:p>
      <w:r>
        <w:t>posterior am Humeruskopf liegenden Bone</w:t>
      </w:r>
    </w:p>
    <w:p>
      <w:r>
        <w:t>Bruise spreche gegen eine frische Schulterluxation und damit gegen eine frische Labrumläsion. Daran änderten auch die Befunde des Arthro -MRI vom 1 5. Juni 2022 nichts. Im Operationsbericht vom 2 3. August 2023 beschreibe Dr. C.___ eine von 7 bis 12 Uhr instabile Ablösung des Labrum-Kapsel-Komplexes von der Glenoidkante . Die beigefügten Operationsbilder zeigten ein ausgefranstes Labrum glenoidale und die kurze Kante des Tasthakens sei auf den Bildern fast in voller Länge sichtbar. Die deutliche Ausfaserung fünf Monate nach dem Ereignis sei zwar theoretisch möglich, überwiegend wahrscheinlich sei ein solcher Befund fünf Monate nach dem Ereignis aber nicht. Zudem sei au f den Bilder n eine Ablösung des Labrum glenoidale von der vorderen Glenoidkante nicht sichtbar, weshalb das Vorliegen einer Labrumablösung vom Glenoid nicht bewiesen sei. I m Weiteren erklärte Prof. Dr. B.___ , es sei Dr. C.___ beizupflichten, dass Bankart-Verletzungen per definitionem in den allermeisten Fällen traumatisch bedingt seien. Auch treffe dessen Aussage zu, dass eine Bankart-Verletzung als «anlagebedingte Erkrankung» anamnestisch oft mit einer langjährigen Hypermobilität oder Laxität einhergehe . Gleichzeitig spreche dies nicht gegen das Vorliegen einer älteren Bankart-Läsion. Das Ereignis vom 9. März 2022 habe überwiegend wahrscheinlich zu einer temporären Verschlechterung eines bereits bestandenen Vorzustands geführt. Es sei von einer temporären Verschlechterung von sechs bis acht Wochen auszugehen ( Urk. 9/M18). 5. 5.1</w:t>
      </w:r>
    </w:p>
    <w:p>
      <w:r>
        <w:t>Der beratende Arzt Dr. A.___ beurteilte die Bankart-Verletzung als degene rativ. Dem widersprachen sowohl Dr. C.___ als auch Prof. Dr. B.___ . Zudem stand Dr. A.___</w:t>
      </w:r>
    </w:p>
    <w:p>
      <w:r>
        <w:t>das</w:t>
      </w:r>
    </w:p>
    <w:p>
      <w:r>
        <w:t>Arthro -MRI vom 1 5. Juni 2023 offen bar nicht zur Verfügung , nimmt er in seinen Berichten doch einzig auf die radiologischen Bilder vom 9. März 2023 und 1 8. März 2023 Bezug. Aus diesen Gründen bestehen geringe Zweifel am Beweiswert seiner Stellungnahmen. Im Rahmen des vorlie genden Verfahrens stützte sich die Beschwerdegegnerin für ihren Standpunkt denn auch nicht mehr auf diese. 5 .2</w:t>
      </w:r>
    </w:p>
    <w:p>
      <w:r>
        <w:t>Dr. C.___ und Prof. Dr. B.___ sind sich insoweit einig, als sie die Bankart-Verletzung auf ein Trauma zurückführen . Während Dr. C.___ den Unfall vom 9. März 2023 als Ursache diese r Verletzung sieht, geht Prof. Dr. B.___ davon aus, dass die Verletzung im Zeitpunkt des Skiunfalls schon vorbestand. Gleichzeitig räumt e er ein, dass in solchen Fällen die betroffene Person oft an einer Hypermobilität oder Laxität der Schulter leidet. Beim Beschwerdeführer war dies jedoch nicht der Fall. Vor dem Unfall hatte er keine Probleme mit der linken Schulter ( Urk. 9/M16). Weder in seiner Tätigkeit als Polizeibeamter noch beim Sport war er von Seiten der linken Schulter einge schränkt ( Urk. 9/M16, Urk.</w:t>
      </w:r>
    </w:p>
    <w:p>
      <w:r>
        <w:rPr>
          <w:b/>
        </w:rPr>
        <w:t>E. 13</w:t>
      </w:r>
    </w:p>
    <w:p>
      <w:r>
        <w:t>S. 5). Prof. Dr. B.___ erklärt e zwar, dass eine</w:t>
      </w:r>
    </w:p>
    <w:p>
      <w:r>
        <w:t>Beschwerdefreiheit vor dem Unfall nicht gegen einen Vorzustand spr eche , lässt jedoch eine Begründung dafür vermissen , weshalb gerade im Falle des Beschwer deführers eine Ausnahme vom Regelfall, dass sich ein entsprechender Vorzustand durch eine Hypermobilität oder Laxität der Schulter manifestiert, anzunehmen ist. Dies hätte sich umso mehr aufgedrängt , als Prof. Dr. B.___ nicht bestreitet, dass der Skiunfall geeignet war, eine Blankart-Verletzung herbeizuführen.</w:t>
      </w:r>
    </w:p>
    <w:p>
      <w:r>
        <w:t>Es bestehen daher auch an der Einschätzung von Prof. Dr. B.___ geringe Zweifel . 5 .3</w:t>
      </w:r>
    </w:p>
    <w:p>
      <w:r>
        <w:t>Allerdings kann nicht unbesehen auf die Beurteilung von Dr. C.___ abgestellt werden. Auch er hält die im MRI vom 1 8. März 2023 ersichtlichen Befunde für moderat ( Urk. 9/M1). Soweit er ausführt, MRI-Untersuchungen der Schulter seien in Bezug auf Kapselverletzungen ungenau ( Urk. 9/M16), steht dem die Aussage von Prof. Dr. B.___ entgegen, wonach frische Läsionen MR-tomographisch gut sichtbar seien ( Urk. 9/M18). Es rechtfertigt sich daher, die Sache an die Beschwerdegegnerin zurückzuweisen, damit sie den Kausalzusam menhang in einem externen medizinischen Gutachten beurteilen lässt und anschliessend neu verfügt. Von der vom Beschwerdeführer eventualiter beantrag ten Einholung eines Gutachtens durch das Gericht ist abzusehen, da der Beweis über sozialversicherungsrechtliche Ansprüche primär auf der Stufe des Admi nistrativverfahrens (vgl. Art. 43 f. ATSG) und nicht im gerichtlichen Prozess geführt wird (vgl. BGE 137 V 210 E. 2.2.2 und 4.2).</w:t>
      </w:r>
    </w:p>
    <w:p>
      <w:r>
        <w:t>In diesem Sinn ist die Beschwerde gutzuheissen. 6 .</w:t>
      </w:r>
    </w:p>
    <w:p>
      <w:r>
        <w:t>Die Rückweisung an die Verwaltung gilt nach ständiger Rechtsprechung als vollständiges Obsiegen (BGE 137 V 57 E. 2.2) , weshalb der vertretene Beschwer deführer Anspruch auf eine Prozessentschädigung hat. Diese ist gemäss Art. 61 lit . g ATSG in Verbindung mit §</w:t>
      </w:r>
    </w:p>
    <w:p>
      <w:r>
        <w:t>34 des Gesetzes über das Sozialversicherungs gericht ( GSVGer ) – ohne Rücksicht auf den Streitwert – nach der Bedeutung der Streitsache, nach der Schwierigkeit des Prozesses und dem Mass des Obsiegens zu bemessen und unter Berücksichtigung der vorgenannten Bemes sungs kriterien und beim praxisgemässen Stundenansatz von Fr. 220.-- vor lie gend auf Fr. 2’ 3 00.-- (inkl. Barauslagen und MWSt ) festzusetzen . Das Gericht erkennt: 1.</w:t>
      </w:r>
    </w:p>
    <w:p>
      <w:r>
        <w:t>Die Beschwerde wird in dem Sinne gutgeheissen, dass der Einspracheentscheid vo m 3 0. Januar 2023 aufgehoben und die Sache an die Unfallversicherung Y.___ zurückgewiesen wird, damit sie im Sinne der Erwägungen verfahre und hernach über den Leistungsanspruch neu verfüge. 2.</w:t>
      </w:r>
    </w:p>
    <w:p>
      <w:r>
        <w:t>Das Verfahren ist kostenlos. 3.</w:t>
      </w:r>
    </w:p>
    <w:p>
      <w:r>
        <w:t>Die Beschwerdegegnerin wird verpflichtet, dem Beschwerdeführer eine Parteientschä digung von Fr. 2’300 .-- (inkl. Barauslagen und MWST) zu bezahlen. 4.</w:t>
      </w:r>
    </w:p>
    <w:p>
      <w:r>
        <w:t>Zustellung gegen Empfangsschein an: - Rechtsanwältin Astrid Meienberg - Unfallversicherung Y.___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