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UV.2022.00232 vom 22. März 2023</w:t>
      </w:r>
    </w:p>
    <w:p>
      <w:r>
        <w:t>ZH Sozialversicherungsgericht, 2023-03-22, DE</w:t>
      </w:r>
    </w:p>
    <w:p>
      <w:r>
        <w:rPr>
          <w:b/>
        </w:rPr>
        <w:t xml:space="preserve">Quelle: </w:t>
      </w:r>
      <w:r>
        <w:t>https://mcp.opencaselaw.ch/entscheid/zh_sozialversicherungsgericht_UV.2022.00232</w:t>
      </w:r>
    </w:p>
    <w:p>
      <w:r>
        <w:t>FR: ZH_SOZIALVERSICHERUNGSGERICHT UV.2022.00232 du 22 mars 2023</w:t>
      </w:r>
    </w:p>
    <w:p>
      <w:r>
        <w:t>IT: ZH_SOZIALVERSICHERUNGSGERICHT UV.2022.00232 del 22 marzo 2023</w:t>
      </w:r>
    </w:p>
    <w:p>
      <w:pPr>
        <w:pStyle w:val="Heading2"/>
      </w:pPr>
      <w:r>
        <w:t>Erwägungen</w:t>
      </w:r>
    </w:p>
    <w:p>
      <w:r>
        <w:rPr>
          <w:b/>
        </w:rPr>
        <w:t>E. 1</w:t>
      </w:r>
    </w:p>
    <w:p>
      <w:r>
        <w:t>Der 1988 geborene X.___</w:t>
      </w:r>
    </w:p>
    <w:p>
      <w:r>
        <w:t>war seit dem 1. Juli 20</w:t>
      </w:r>
    </w:p>
    <w:p>
      <w:r>
        <w:rPr>
          <w:b/>
        </w:rPr>
        <w:t>E. 1.1</w:t>
      </w:r>
    </w:p>
    <w:p>
      <w:r>
        <w:t>Nach Art. 1 Abs. 1 des Bundesgesetzes über die Unfallversicherung (UVG) in Verbindung mit Art. 43 Abs. 1 des Bundesgesetzes über den Allgemeinen Teil des Sozialversicherungsrechts (ATSG) prüft der Versicherungsträger die Begehren der versicherten Person, nimmt die notwendigen Abklärungen von Amtes wegen vor und holt die erforderlichen Auskünfte ein. Der Versicherungsträger bestimmt die Art und den Umfang der notwendigen Abklärungen ( Art. 43 Abs. 1 bis</w:t>
      </w:r>
    </w:p>
    <w:p>
      <w:r>
        <w:t>ATSG ).</w:t>
      </w:r>
    </w:p>
    <w:p>
      <w:r>
        <w:rPr>
          <w:b/>
        </w:rPr>
        <w:t>E. 1.2</w:t>
      </w:r>
    </w:p>
    <w:p>
      <w:r>
        <w:t>Das Gericht kann die Angelegenheit zu neuer Entscheidung an die Vorinstanz zurückweisen, besonders wenn mit dem angefochtenen Entscheid nicht auf die Sache eingetreten oder der Sachverhalt ungenügend festgestellt wurde (§ 26</w:t>
      </w:r>
    </w:p>
    <w:p>
      <w:r>
        <w:t>Abs. 1 des Gesetzes über das Sozialversicherungsgericht ; GSVGer ).</w:t>
      </w:r>
    </w:p>
    <w:p>
      <w:r>
        <w:t>2.</w:t>
      </w:r>
    </w:p>
    <w:p>
      <w:r>
        <w:t>2.1</w:t>
      </w:r>
    </w:p>
    <w:p>
      <w:r>
        <w:t>Die Beschwerdegegnerin begründete den angefochtenen Einspracheentscheid damit, dass dem Beschwerdeführer zumindest seit Juli 2021 keine medizinischen Behandlungen im engeren Sinne mehr empfohlen oder von ihm in Anspruch genommen würden. Auch gehe aus keine m ärztlichen Bericht hervor, dass weitere Behandlungen noch zu einer relevanten Steigerung der Arbeitsfähigkeit führen dürften. Daher sei der Fall zu Recht abgeschlossen und die Invalidenrente geprüft worden ( Urk. 2 S. 4). 2.2</w:t>
      </w:r>
    </w:p>
    <w:p>
      <w:r>
        <w:t>Der Beschwerdeführer brachte zur Begründung seines Antrags auf Rückweisung der Sache an die Beschwerdegegnerin zwecks Neubegutachtung</w:t>
      </w:r>
    </w:p>
    <w:p>
      <w:r>
        <w:t>vor, im kreisärzt lichen Bericht würden die von den behandelnden Ärzten festgestellten neuro kognitiven Minderleistungen und die vom behandelnden Psychiater fest gehalte nen Auffälligkeiten im Interaktionsverhalten und d ie organische Depres sion nicht berücksichtigt . Zudem werde keine Stellung genommen zu den Erkennt nissen aus den Eingliederungsmassnahmen, die erkennen liessen, dass er k ein ganztägiges Pensum leisten könne und einen erhöhten Betreuungsbedarf habe. Zudem sei die kreisärztliche Beurteilung in einem Zeitpunkt erfolgt, in dem für die Anspruchs prüfung relevante Unterlagen gefehlt hätten. Aus diesen Gründen sei nicht erstellt, dass er in einer angepassten Tätigkeit voll arbeitsfähig sei ( Urk. 1 S. 7).</w:t>
      </w:r>
    </w:p>
    <w:p>
      <w:r>
        <w:t>Zum von der Beschwerdegegnerin durchgeführten Einkommensvergleich legte der Beschwerdeführer dar, dass ihm die Unfallfolgen den Abschluss der Umschu lung zum Techniker HF Umwelt und Energie mit regulärem Diplom verunmög licht hätten, was Auswirkungen auf die Berufschancen habe . Zudem entspreche der von der Beschwerdegegnerin her an gezogene Branchenlohn betreffend den Bereich der Energieversorgung nicht dem offenen Berufsfeld als Techniker HF Energie und Umwel t . D iese Tätigkeit sei in verschiedensten Branchen anzusiedeln , weshalb der branchenübergreifende Lohn im Kompe tenzniveau 2 heranzuziehen sei ( Urk. 1 S. 9). Die beruflichen Eingliederung s massnahmen und die neuropsy chologische Untersuchung hätten ausserdem gezeigt, dass er strukturierte Arbeiten benötige und zudem schwierig i m Umgang und kaum lenkbar sei . In der kreisärztlichen Zumutbarkeitsbeurteilung finde sich dazu nichts, weshalb sie auch unter diesem Aspekt nicht genüge. Wegen des stark eingeschränkten Zumutbar keitsprofils und dem Erfordernis der besonderen Rücksichtnahme eines Arbeit gebers sei ein Abzug vom Tabellenlohn ge recht fertig t ( Urk. 1 S. 10)</w:t>
      </w:r>
    </w:p>
    <w:p>
      <w:r>
        <w:t>2.3</w:t>
      </w:r>
    </w:p>
    <w:p>
      <w:r>
        <w:t>Die Beschwerdegegnerin anerkannte in der Beschwerdeantwort die beschwerde weise vorgebrachten Rügen als berechtig t und beantragte die Rückweisung der Angelegenheit zur weiteren Abklärung . Dazu führte sie an, d ie angewandte Zumutbarkeitsbeurteilung sei fachmedizinisch zu wenig breit abge stützt ; dies müsse sie nachholen. Bei dieser Gelegenheit habe sie selbst verständlich die kon krete Anwendung der Lohnstrukturerhebung zur Ermittlung des Invaliden ein kommens zu überprüfen ( Urk. 7). 3.</w:t>
      </w:r>
    </w:p>
    <w:p>
      <w:r>
        <w:t>Die Parteien beantragen übereinstimmend die Rückweisung der Angelegenheit zu weiteren Abklärungen, was mit der Rechts- und Aktenlage in Einklang steht. Denn mit Blick auf die Akten lässt sich nicht mit dem im Sozialversicherungsrecht geltenden Beweismass der überwiegenden Wahrscheinlichkeit (vgl. BGE 119 V 7 E. 3c/ aa ) beurteilen, ob der Beschwerdeführer Anspruch auf eine Invalidenrente hat. Insbesondere vermag die Beschwerdegegnerin ihre Annahme, dass dem Beschwerdeführer eine angepasste Tätigkeit in einem 100%-Pensum zumutbar sei, nicht auf eine entsprechende medizinische Grundlage zu stützen, da die ent scheid wesentliche kreisärztliche Beurteilung vom 3. Mai 2022 ( Urk. 8/ 399 ) einzig aus neurologischem Blickwinkel erfolgt e . Wie die Beschwerdegegnerin selbst anerkennt ( Urk. 7), hat sie den entscheidrelevanten medizinischen Sachverhalt damit unzureichend abgeklärt.</w:t>
      </w:r>
    </w:p>
    <w:p>
      <w:r>
        <w:t>In Anbetracht dieser Gegebenheiten ist der angefochtene Einspracheentscheid</w:t>
      </w:r>
    </w:p>
    <w:p>
      <w:r>
        <w:t>in Gutheissung der Beschwerde aufzuheben und die Angelegenheit ist an die Beschwer de gegnerin zurückzuweisen, damit diese die notwendigen Abklärungen vornehme und hernach über den Lei s tungsanspruch des Beschwerdeführers neu entscheide.</w:t>
      </w:r>
    </w:p>
    <w:p>
      <w:r>
        <w:rPr>
          <w:b/>
        </w:rPr>
        <w:t>E. 4</w:t>
      </w:r>
    </w:p>
    <w:p>
      <w:r>
        <w:t>Zustellung gegen Empfangsschein an: - Rechtsanwalt Markus Loher - Suva - Bundesamt für Gesundheit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