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UV.2022.00207 vom 18. Juli 2023</w:t>
      </w:r>
    </w:p>
    <w:p>
      <w:r>
        <w:t>ZH Sozialversicherungsgericht, 2023-07-18, DE</w:t>
      </w:r>
    </w:p>
    <w:p>
      <w:r>
        <w:rPr>
          <w:b/>
        </w:rPr>
        <w:t xml:space="preserve">Quelle: </w:t>
      </w:r>
      <w:r>
        <w:t>https://mcp.opencaselaw.ch/entscheid/zh_sozialversicherungsgericht_UV.2022.00207</w:t>
      </w:r>
    </w:p>
    <w:p>
      <w:r>
        <w:t>FR: ZH_SOZIALVERSICHERUNGSGERICHT UV.2022.00207 du 18 juillet 2023</w:t>
      </w:r>
    </w:p>
    <w:p>
      <w:r>
        <w:t>IT: ZH_SOZIALVERSICHERUNGSGERICHT UV.2022.00207 del 18 luglio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1963 geborene X.___</w:t>
      </w:r>
    </w:p>
    <w:p>
      <w:r>
        <w:t>war seit dem 22. Dezember 2017 bei der Arbeitslosenkasse Unia gemeldet und bezog in einer bis am 2 1. Dezember 2019 laufenden Rahmenfrist Leistungen der Arbeitslose nversicherung (vgl. Urk. 11/2 und Urk. 11/35 S. 2). Während der laufenden Rahmenfrist für den Leistungsbezug bei der Arbeitslosenkasse war d er Versicherte bei der Suva gegen die Folgen von Unfällen versichert. Mit Schadenmeldung vom 26. Februar 2019 (Schadennum mer «…» ) liess der Versicherte der Suva melden, dass er am 17. Februar 2019 auf einer vereisten Strasse ausgerutscht sei und sich Verletzungen an der linken Mittelhand (ohne Finger) zugezogen ha b e (Urk. 19/1 [= Urk. 11/3 ] ). In der Folge erbrachte die Suva die gesetzlichen Leistungen ( Urk. 19/2) . Der Versicherte wurde am 19. Februar 2019 operativ behandelt und bis am 21. Februar 2019 im Spital Y.___ hospitalisiert (Urk. 19/7-8). Am 20. Juni 2019 teilte die Suva dem Versicherten mit, den medizinischen Unterlagen sei zu entnehmen, er sei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