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UV.2022.00198 vom 14. Dezember 2023</w:t>
      </w:r>
    </w:p>
    <w:p>
      <w:r>
        <w:t>ZH Sozialversicherungsgericht, 2023-12-14, DE</w:t>
      </w:r>
    </w:p>
    <w:p>
      <w:r>
        <w:rPr>
          <w:b/>
        </w:rPr>
        <w:t xml:space="preserve">Quelle: </w:t>
      </w:r>
      <w:r>
        <w:t>https://mcp.opencaselaw.ch/entscheid/zh_sozialversicherungsgericht_UV.2022.00198</w:t>
      </w:r>
    </w:p>
    <w:p>
      <w:r>
        <w:t>FR: ZH_SOZIALVERSICHERUNGSGERICHT UV.2022.00198 du 14 décembre 2023</w:t>
      </w:r>
    </w:p>
    <w:p>
      <w:r>
        <w:t>IT: ZH_SOZIALVERSICHERUNGSGERICHT UV.2022.00198 del 14 dicembre 2023</w:t>
      </w:r>
    </w:p>
    <w:p>
      <w:pPr>
        <w:pStyle w:val="Heading2"/>
      </w:pPr>
      <w:r>
        <w:t>Erwägungen</w:t>
      </w:r>
    </w:p>
    <w:p>
      <w:r>
        <w:rPr>
          <w:b/>
        </w:rPr>
        <w:t>E. 1.1</w:t>
      </w:r>
    </w:p>
    <w:p>
      <w:r>
        <w:t>X.___ , geboren 1963, war als Junior-Texter bei der Y.___ AG angestellt und bei der Schweizerische Mobiliar Versicherungsgesell schaft AG (nachfolgend: Mobiliar) obligatorisch gegen die Folgen von Berufs- und Nichtberufsunfällen versichert, als er sich am 20. August 1987 bei einem Motorradunfall eine drittgradig offene Talusluxationsfraktur mit Ruptur der Syndes mose am linken oberen Sprunggelenk (OSG), eine Durchtrennung der Flexorsehnen</w:t>
      </w:r>
    </w:p>
    <w:p>
      <w:r>
        <w:t>superficialis und profundus am linken Zeigefinger sowie eine Schulterluxation links zuzog. Die Fussverletzung wurde gleichentags mittels Talusschraubenosteosynthese und Syndesmosenstellschraube operativ behandelt (Urk. 9 /M1.1-2). Im Oktober 1987 wurden die Stellschrauben entfernt und eine Meshgraftversorgung eines Hautdefektes am Fussrücken vorgenommen (Urk. 9 /M2-3). Im Februar 1989 folgte die Schraubenentfernung am Talus (Urk.</w:t>
      </w:r>
    </w:p>
    <w:p>
      <w:r>
        <w:t>9 /M7). Im weiteren Verlauf stellte sich eine aseptische Talusrollennekrose und eine beginnende posttraumatische Arthrose im oberen und unteren Sprung gelenk (OSG, USG) links mit belastungsabhängigen persistierenden Beschwerden ein (Urk. 9 /M12, Urk. 9 /M19). Die Mobiliar erbrachte Taggelder und übernahm die Kosten für die Heilbehandlung. Mit Verfügung vom 8. Mai 1996 sprach die Mobiliar dem Versicherten eine Integritätsentschädigung basierend auf einem Integritätsschaden von 20 % zu (Urk. 1 0 /K15).</w:t>
      </w:r>
    </w:p>
    <w:p>
      <w:r>
        <w:rPr>
          <w:b/>
        </w:rPr>
        <w:t>E. 1.2</w:t>
      </w:r>
    </w:p>
    <w:p>
      <w:r>
        <w:t>Ab dem 1. August 2008 war der Versicherte als Marketingfachmann Energie und Wasser für die Z.___ AG tätig. Am 12. November 2009 meldete sie der Mobiliar einen Rückfall zum Unfall vom 20. August 1987 (Urk. 9 /M26-27). Am 26. Januar 2011 wurde dem Versicherten wegen verstärkter Arthrosebeschwerden am linken Fussgelenk und mögliche r neuropathische r Schmerzen (Urk. 9 /M37) im Zentrum für Fusschirurgie der Klinik A.___ eine OSG-Mobility-Prothese eingesetzt. Ausserdem wurde eine Arthrodese des USG links vorgenommen (Urk. 9 /M44). Die Mobiliar erbrachte die gesetzlichen Leistungen (Taggelder und Heilbehandlung). Am 20. September 2012 kündigte die Z.___ AG das Arbeitsverhältnis mit dem Versicherten per Ende Januar 2013 (Urk. 10 /K62).</w:t>
      </w:r>
    </w:p>
    <w:p>
      <w:r>
        <w:t>Wegen persistierender postoperativer Beschwerden trotz konservativer Behand lung und Infiltrationen (Urk. 9 /M63) wurden am 3. Dezember 2012 im Zentrum für Fusschirurgie der Klinik A.___ ein Deltoidrelease am OSG links und eine Gelenkstoilette am Malleolargelenk</w:t>
      </w:r>
    </w:p>
    <w:p>
      <w:r>
        <w:t>medialseits links durchgeführt (Urk. 9 /M65). Am 29. Mai 2013 wurde im Kantonsspital B.___ ein OSG-Prothesenwechsel mit Schraubenentfernung und Stabilisation des distalen Tibiofibulargelenkes links vorgenommen (Urk. 9 /M71). Von Anfang Juli bis Ende Dezember 2014 war der Versicherte in einer befristeten Anstellung mit einem 50%igen Arbeitspensum als Marketingspezialist für die C.___ GmbH tätig (Urk. 10 /K104.2-3).</w:t>
      </w:r>
    </w:p>
    <w:p>
      <w:r>
        <w:t>Im November 2014 (Urk. 10 /K81) hatte die Mobiliar das bidisziplinäre Gutachten von Dr. med. D.___ , Facharzt für Chirurgie, und von Dr. med. E.___ , Fachärztin für Psychiatrie und Psychotherapie, vom 16. Februar 2015 (Urk. 9 /M94) mit dem psychiatrischen Teilgutachten vom 5. Februar 2015 (Urk. 9 /M93) ein geholt . Gestützt darauf stellte die Mobiliar mit Verfügung vom 13. Januar 2016 die Taggeldleistungen und die Leistungen für die Heilbehand lung per Ende Januar 2016 ein und verneinte einen Anspruch des Versicherten auf eine Invalidenrente. Ausserdem sprach sie ihm eine Integritätsentschädigung basierend auf einem Integritätsschaden von 35 % zu, abzüglich des bereits im Jahr 1996 vergüteten Integritätsschadens von 20 % (Urk. 10 /K111 S. 5). Dagegen erhob der Versicherte mit Schreiben vom 15. Februar 2016 Einsprache (Urk. 1 0 /K118). Die Mobiliar holte daraufhin den Nachtrag zum Gutachten von Dr. D.___ vom 10. Juni 2016 ein (Urk. 9 /M104). Mit Einspracheentscheid vom 7. März 2017 wies die Mobiliar die Einsprache ab (Urk. 10/K135 ).</w:t>
      </w:r>
    </w:p>
    <w:p>
      <w:r>
        <w:t>Die dage gen am 6. April 2017 erhobene Beschwerde hiess das Sozialversicherungs gericht des Kantons Zürich mit Urteil im Prozess UV.2017.00089 vom 3 1. Januar 2019 insoweit gut, als es die Sache zu r ergänzenden medizinischen Abklärung und neuer Verfügung über den Rentenanspruch des Versicherten ab dem 1.</w:t>
      </w:r>
    </w:p>
    <w:p>
      <w:r>
        <w:t>Februar 2016 an die Mobiliar zurückwies (Urk. 10/K168 S. 21 ).</w:t>
      </w:r>
    </w:p>
    <w:p>
      <w:r>
        <w:rPr>
          <w:b/>
        </w:rPr>
        <w:t>E. 1.3</w:t>
      </w:r>
    </w:p>
    <w:p>
      <w:r>
        <w:t>Die Mobiliar beteiligte sich daraufhin</w:t>
      </w:r>
    </w:p>
    <w:p>
      <w:r>
        <w:t>mit Zusatzfragen an der Einholung eines polydisziplinären Gutachtens durch die</w:t>
      </w:r>
    </w:p>
    <w:p>
      <w:r>
        <w:t>Sozialversicherungsanstalt des Kantons Zürich, IV-Stelle</w:t>
      </w:r>
    </w:p>
    <w:p>
      <w:r>
        <w:t>(Urk. 10/K179 , Urk. 10/K211, Urk. 10/K208) .</w:t>
      </w:r>
    </w:p>
    <w:p>
      <w:r>
        <w:t>Das Gutachten wurde von der MEDAS F.___ a m 28. Dezember 2020 erstellt</w:t>
      </w:r>
    </w:p>
    <w:p>
      <w:r>
        <w:t>(Urk. 9/M141).</w:t>
      </w:r>
    </w:p>
    <w:p>
      <w:r>
        <w:t>Gestützt darauf sprach die Mobiliar</w:t>
      </w:r>
    </w:p>
    <w:p>
      <w:r>
        <w:t>dem Versicherten mit Verfügung vom 1. Juli 2021 eine Invalidenrente ab dem 1. Januar 2019 mit einem Invaliditätsgrad von 26 % zu (Urk. 10/K235). Dagegen erhob der Versicherte am 2. September 2021 Einsprache ( Urk. 10/K240), welche die Mobiliar mit Einspracheentscheid vom 19. September 2022 abwies (Urk. 2).</w:t>
      </w:r>
    </w:p>
    <w:p>
      <w:r>
        <w:rPr>
          <w:b/>
        </w:rPr>
        <w:t>E. 2</w:t>
      </w:r>
    </w:p>
    <w:p>
      <w:r>
        <w:t>4. November 20 22 auf Abweisung der Beschwerde (Urk.</w:t>
      </w:r>
    </w:p>
    <w:p>
      <w:r>
        <w:rPr>
          <w:b/>
        </w:rPr>
        <w:t>E. 2.1</w:t>
      </w:r>
    </w:p>
    <w:p>
      <w:r>
        <w:t>Gemäss Art. 6 UVG werden soweit das Gesetz nichts anderes bestimmt - die Versicherungsleistungen bei Berufsunfällen, Nichtberufsunfällen und Berufs krankheiten gewährt (Abs. 1). Für die Leistungspflicht eines Unfallversicherers setzt das UVG nebst dem Vorliegen eines Unfalls (Art. 4 des Bundesgesetzes über den Allgemeinen Teil des Sozialversicherungsrechts, ATSG) oder einer unfallähn lichen Körperschädigung (Art. 6 UVG in Verbindung mit Art. 9 Abs. 2 UVV) voraus, dass zwischen dem Unfallereignis und dem eingetretenen Schaden (Krankheit, Invalidität, Tod) ein natürlicher und ein adäquater Kausalzusammen hang besteht. 2. 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massnahmen der Invalidenversicherung abgeschlossen sind (vgl. Art. 19 Abs. 1, Art. 24 Abs. 2 UVG; BGE 144 V 354 E. 4.1 mit Hinweisen; Urteil des Bundes gerichts 8C_527/2020 vom 2. November 2020 E. 4.1 mit Hinweisen). 2. 3</w:t>
      </w:r>
    </w:p>
    <w:p>
      <w:r>
        <w:t>Wird die versicherte Person infolge eines Unfalles zu mindestens 10 % invalid, so hat sie Anspruch auf eine Invalidenrente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2.3</w:t>
      </w:r>
    </w:p>
    <w:p>
      <w:r>
        <w:t>mit Hinweisen), womit die im Z eit punkt des Erlasses des Einspracheentscheids</w:t>
      </w:r>
    </w:p>
    <w:p>
      <w:r>
        <w:t>bezogen auf den Zeitpunkt des Renten beginns aktuellsten veröffentlichten Daten gemeint sind ( BGE 143 V 295 E. 4.1.3 ; Urteil des Bundesgerichts 8C_350/2022 vom 9. November 2022 E. 6 mit Hinweisen ).</w:t>
      </w:r>
    </w:p>
    <w:p>
      <w:r>
        <w:t>Die versicherte Person muss sich rechtsprechungsgemäss in Nachachtung der ihr obliegenden Schadenminderungslast (vgl. hierzu BGE 130 V 97 E. 3.2; 129 V 460 E. 4.2, je mit Hinweisen; Urteil des Bundesgerichts 9C_117/2020 vom 3. Juni 2020 E. 5.4) diejenige Tätigkeit anrechnen lassen, bei der der geringste Invaliditäts grad resultiert (Urteil e</w:t>
      </w:r>
    </w:p>
    <w:p>
      <w:r>
        <w:t>des Bundesgerichts 8C_124/2021 vom 2.</w:t>
      </w:r>
    </w:p>
    <w:p>
      <w:r>
        <w:t>August 2021 E. 4.4.3.1 und 9C_672/2019 vom 1 2. August 2020 E. 7.2.2). Für die Invaliditätsbemessung ist zudem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w:t>
      </w:r>
    </w:p>
    <w:p>
      <w:r>
        <w:t>BGE 134 V 64</w:t>
      </w:r>
    </w:p>
    <w:p>
      <w:r>
        <w:t>E. 4.2.1 ; Urteil des Bundesgerichts 8C_29/2018 vom 6. Juli 2018 E. 5.2.2). 4. 4</w:t>
      </w:r>
    </w:p>
    <w:p>
      <w:r>
        <w:t>Den Akten ist zum beruflichen Werdegang des Beschwerdeführers zu entnehmen, dass er nach dem Erwerb der Matur ität Typus</w:t>
      </w:r>
    </w:p>
    <w:p>
      <w:r>
        <w:t>C das Studium der Betriebswirt schaftslehre (BWL) an der Universität H.___ begann , dieses indes sogleich wieder abbrach. Von Februar 1987 bis Mai 1988 arbeitete er als Junior-Texter für die Y.___ AG und von Mai 1988 bis Mai 1991 als PR-Assistent für das Büro J.___ . Währenddessen, von 1988 bis 1989, erwarb er den PR-Fachmann mit eidgenössischem Fachausweis.</w:t>
      </w:r>
    </w:p>
    <w:p>
      <w:r>
        <w:t>Von September 1991 bis Mai 1994 arbeitete er als PR- und Marketingmanager für die K.___ AG und von September 1994 bis Januar 2000 als Berater für PR und Socialmarketing für die L.___ . Von 1994 bis 1995 hatte er das Nachdiplom-Intensivstu dium «Kommunikation und Management» am Forschungsinstitut G.___ der Hochschule H.___ absolviert. Von August 2000 bis August 2008 arbeitete er als Marketing Manager für die M.___ AG. Von 2006 bis 2007 durch lief er die Ausbildung zum Master of</w:t>
      </w:r>
    </w:p>
    <w:p>
      <w:r>
        <w:t>Advanced Studies (MAS) in Services Mar keting und Management an der Hochschule I.___ . Von August 2008 bis Januar 2013 arbeitete er als Marketingfachmann und stellver tretender Leiter Marketing und Kommunikation für die Z.___ AG sowie befristet von Juli bis Dezember 2014 in einem 50%igen Pensum als Redaktor und Marketingfachmann für die C.___ GmbH ( Urk. 10/K1042-3, Urk.</w:t>
      </w:r>
    </w:p>
    <w:p>
      <w:r>
        <w:t>10/K124.8, Urk.</w:t>
      </w:r>
    </w:p>
    <w:p>
      <w:r>
        <w:t>10/K124.10, Urk. 10/K124.35).</w:t>
      </w:r>
    </w:p>
    <w:p>
      <w:r>
        <w:t>Gemäss dem Arbeitszeugnis der Z.___ AG vom 31. Januar 2013 gehörten zu den Hauptaufgaben des Beschwerdeführers die Konzeption und Durchführung von integrierten Marketing- und Verkaufsförderungsmassnahmen (Broschüre, Plakate, Flyer, Publireportagen , Internet) inklusive die marketingseitige Beglei tung von Produktionsentwicklungsprozessen, die Planung und Organi sation von öffentlichen Anlässen und Messeteilnahmen, die Begleitung und unternehmens spezifische Ausrichtung von Kundenbefragungen internationaler Branchenver bänden, die Pflege von Website-Inhalten inklusive die komplette redaktionelle Überarbeitung im Zusammenhang mit dem Relaunch 2009, interne Kommunika tion im Zusammenhang mit dem monatlich erscheinenden Firmennewsletter «N.___ », die Redaktion von Mediencommuniqués sowie die Stellvertretung des Leiters Marketing und Kommunikation (Urk. 10/K124.3). 4. 5 4. 5 .1</w:t>
      </w:r>
    </w:p>
    <w:p>
      <w:r>
        <w:t>Auf die statistischen Median-Löhne gemäss Zeile « Total » der LSE-Tabelle TA1 ist namentlich dann abzustellen, wenn der versicherten Person die angestammte Tätigkeit nicht mehr zumutbar ist und sie auf ein anderes Betätigungsfeld aus weichen muss (Urteil des Bundesgerichts 8C_350/2022 vom 9. November 2022 E. 6.2.2.2) . Dies trifft beim Beschwerdeführer entgegen dessen Ansicht indes nicht zu. Auch wenn die zuletzt bis im Januar 2013 ausgeübte Tätigkeit als Marketing fachmann und stellvertretender Leiter Marketing und Kommunikation für die Z.___ AG ihm aus gesundheitlichen Gründen gekündigt wurde, ist daraus mit Blick auf das beweiskräftige MEDAS-Gutachten noch nicht auf das Erforder nis eines « Branchenwechsels » zu schliessen . Denn die Gutachter attestierten nach vollziehbar begründet ab Anfang 2019 eine 80%ige Arbeitsfähigkeit auch in der bisherigen Tätigkeit - wenn auch nicht am selben Arbeitsplatz - , wobei sie aus drücklich davon ausgingen , dass auch in einer solchen Tätigkeit eine</w:t>
      </w:r>
    </w:p>
    <w:p>
      <w:r>
        <w:t>geringere Belastung des Fusses möglich sei , als dies am letzten spezifischen Arbeitsplatz der Fall war (Urk. 9/M141 S. 20) . Dem ist beizupflichten, zumal der Beschwerde führer auch nach der Anstellung bei der Z.___ AG weiterhin in der Mar keting - und PR-B ranche tätig blieb (so namentlich bei der C.___ GmbH, Urk. 10/K104.2-3), und anlässlich der gutachterlichen Untersuchung angab, wei terhin selbständig und projektbezogen im Marketing zu arbeiten (vgl. orthopädi sches Teilgutachten vom 2. Juni 2020, Urk.</w:t>
      </w:r>
    </w:p>
    <w:p>
      <w:r>
        <w:t>9/M141.2 S. 25). 4. 5 .2</w:t>
      </w:r>
    </w:p>
    <w:p>
      <w:r>
        <w:t>Bei dieser Ausgangslage</w:t>
      </w:r>
    </w:p>
    <w:p>
      <w:r>
        <w:t>und angesichts der Ausbildung en</w:t>
      </w:r>
    </w:p>
    <w:p>
      <w:r>
        <w:t>sowie der vielfältigen und jahrelangen Berufserfahrung des Beschwerdeführers allein in der Marketing- und Kommunikationsbranche erscheint es als sachgerecht , auf die anhand ver schiedener Berufsgruppen erstellten Tabelle T17 abzustellen , was eine genauere Bestimmung des Invalideneinkommens erlaubt. Dabei ist entgegen den Ausfüh rungen des Beschwerdeführers nicht ersichtlich, weshalb ihm der öffentliche Sek tor nicht ebenfalls offenstehen soll te . Der Beschwerdeführer verfügt über Erfahrung in einem regionale n Energie-, Telekom mu n ikation - und Wasser-Versorgungs unternehme n , welche Bereiche in der Schweiz ortsweise</w:t>
      </w:r>
    </w:p>
    <w:p>
      <w:r>
        <w:t>auch von öffentlich-rechtlich organisierten Anstalten verwaltet oder zumindest wirtschaft lich vom Gemeinwesen getragen werden. Zudem beinhaltete seine Tätigkeit für die L.___ unter anderem die Entwicklung und Betreuung der Softnet -Projektbörse im Auftrag des Bundesamtes für Berufsbildung und Technologie sowie die Realisation des Anbieterverzeichnisses für Dienstleister im Bereich Betriebsoptimierung inklusive Verkauf der Anzeigeseiten für Anbieter im Auftrag des Bundesamtes für Energie (Urk. 10/K124.6). Nicht stichhaltig ist ferner das Vorbringen des Beschwerdeführers, der öffentliche Sektor habe ihm w egen seines Alters von 56</w:t>
      </w:r>
    </w:p>
    <w:p>
      <w:r>
        <w:t>Jahren im Jahr 2019 und wegen seiner langen Abwesenheit von diesem Berufsfeld nicht offen gestanden.</w:t>
      </w:r>
    </w:p>
    <w:p>
      <w:r>
        <w:t>Soweit dieser Einwand i m Zusammen hang mit der Bestimmung des Invalideneinkommen s überhaupt zu hören ist, spricht beides nicht grundsätzlich gegen eine Anstellung im öffentlichen Sektor, zumal der Beschwerdeführer bis Ende 2018 voll arbeitsfähig war, sondern erschwert lediglich die Arbeitssuche. 4. 5 .3</w:t>
      </w:r>
    </w:p>
    <w:p>
      <w:r>
        <w:t>Allerdings ist nicht auf die von der Beschwerdegegnerin verwendete Berufs gruppe in Ziffer 25 der LSE-Tabelle T17 «akademische und vergleichbare Fach kräfte in der Informations- und Kommunikationstechnologie» abzustellen. Diese Berufsgruppe umfasst nicht die den Beschwerdeführer betreffende Branche der Marketing- und PR-</w:t>
      </w:r>
    </w:p>
    <w:p>
      <w:r>
        <w:t>respektive Kommunikations- Tätigkeiten und passt daher nicht. Denn gemäss dem ISCO-08-Raster ( International Standard Classification of</w:t>
      </w:r>
    </w:p>
    <w:p>
      <w:r>
        <w:t>Occupations ; abrufbar unter www.bfs.admin.ch/bfs/de/home/statistiken/arbeit-erwerb/nomenclaturen/isco-08.assetdetail.4082534.html ) , auf welche m die Berufsgruppen der Tabelle T17 beruhen, umfasst die Berufsgruppe in Ziffer 25 die folgenden Berufe: Entwickler und Analytiker von Software und Anwendungen (Systemanalytiker, Softwareentwickler, Web- und Multimediaentwickler, Anwendungs programmierer, Entwickler und Analytiker von Software und Anwendungen, anderweitig nicht genannt), akademische und vergleichbare Fachkräfte für Datenbanken und Netzwerke (Datenbankentwickler und -adminis tratoren, Systemadministratoren, akademische und vergleichbare Fachkräfte für Computernetzwerke, akademische und vergleichbare Fachkräfte für Datenbanken und Netzwerke, anderweitig nicht genannt).</w:t>
      </w:r>
    </w:p>
    <w:p>
      <w:r>
        <w:t>Die Berufe betreffend Marketing und Kommunikation respektive Öffentlichkeits arbeit</w:t>
      </w:r>
    </w:p>
    <w:p>
      <w:r>
        <w:t>finden sich dagegen unter der Berufsgruppe von Ziffer 24 «Betriebswirte und vergleichbare akademische Berufe» , worunter gemäss dem ISCO-08-Raster die folgenden Berufe fallen : A kademische und vergleichbare Fachkräfte im Bereich Finanzen ( Wirtschaftsprüfer, Steuerberater und verwandte Berufe , f inanz- und Anlageberater , Finanzanalysten ), a kademische und vergleichbare Fachkräfte in der betrieblichen Verwaltung (a kademische und vergleichbare Fachkräfte im Bereich Management- und Organisationsanalyse , a kademische und vergleichbare Fachkräfte in der strategischen Planung in Politik und Wirtschaft , Berufsberater und -analytiker und akademische und vergleichbare Personal fachleute , Fachkräfte in Personalschulung und -entwicklung ), a kademische und vergleichbare Fachkräfte in Vertrieb, Marketing und Öffentlichkeitsarbeit (a kade mische und vergleichbare Fachkräfte in Werbung und Marketing , a kademische und vergleichbare Fachkräfte in der Öffentlichkeitsarbeit , a kademische und ver gleichbare Fachkräfte im Bereich Vertrieb [ Technik und Medizin, ohne Informa tions - und Kommunikations technologie ], a kademische und vergleichbare Fach kräfte im Vertrieb von Informations- und Kommunikationstechnologie ; Ziff. 243 ). 4. 5 .4</w:t>
      </w:r>
    </w:p>
    <w:p>
      <w:r>
        <w:t>Da die Fachkräfte in Werbung, Marketing und Öffentlichkeitsarbeit somit von Ziffer</w:t>
      </w:r>
    </w:p>
    <w:p>
      <w:r>
        <w:t>24 der Tabelle T17 erfasst sind, ist der dort genannte Tabellenlohn mass geblich . Dabei ist zu berücksichtigen, dass die Tabelle T17 (auch) nach Lebensalter aufgeschlüsselt ist (vgl. Urteil des Bundesgerichts 9C_38/2019 vom 9. Mai 2019 E. 3.4.3 ) . Im Jahr 2018 betrug das mittlere Monatse inkommen in der Berufsgruppe von Ziffer 24</w:t>
      </w:r>
    </w:p>
    <w:p>
      <w:r>
        <w:t>bei mindestens 50</w:t>
      </w:r>
    </w:p>
    <w:p>
      <w:r>
        <w:t>Jahre alte n Männer n</w:t>
      </w:r>
    </w:p>
    <w:p>
      <w:r>
        <w:t>(der Beschwerdeführer war Anfang 2019 55</w:t>
      </w:r>
    </w:p>
    <w:p>
      <w:r>
        <w:t>Jahre alt) Fr.</w:t>
      </w:r>
    </w:p>
    <w:p>
      <w:r>
        <w:t>8'810.-- .</w:t>
      </w:r>
    </w:p>
    <w:p>
      <w:r>
        <w:t>Dieser Betrag ist auf die im Jahr 2018 betriebsübliche wöchentliche Arbeitszeit hochzurechnen und an die Nominallohnentwicklung bis 2019 anzupassen, wobei zu beachten ist, dass sowohl die Tabelle der betriebsüblichen Wochenarbeitszeit als auch die Tabelle der Nominallohnentwicklung nach Wirtschaftsabteilungen ge gliedert sind (vgl. Urteil des Bundesgerichts 9C_38/2019 vom 9. Mai 2019 E. 3.4.3) .</w:t>
      </w:r>
    </w:p>
    <w:p>
      <w:r>
        <w:t>In der Tabelle T 03.02.03.01.04.01 « Betriebsübliche Arbeitszeit nach Wirtschaftsabteilungen in Stunden pro Woche » und in der Tabelle T1.1.15 « Nominallohnindex, Männer, 2016-2020 » (Basis 2015 = 100) richten sich die Wirtschaftszweige nach der allgemeinen Systematik der Wirtschaftszweige NOGA -08</w:t>
      </w:r>
    </w:p>
    <w:p>
      <w:r>
        <w:t>( Nomenclature Générale des Activités</w:t>
      </w:r>
    </w:p>
    <w:p>
      <w:r>
        <w:t>économiques ; abrufbar unter www.kubb-tool.bfs.admin.ch/de). Danach sind die Tätigkeiten der PR- und Unternehmensberatung (einschliesslich Anleitung und praktische Unterstützung von Unternehmen und anderen Organisationen im Bereich PR , Kommunikation und Lobbying) unter dem Wirtschaftszweig « Verwaltung und Führung von Unternehmen und Betrieben; Unternehmensberatung »</w:t>
      </w:r>
    </w:p>
    <w:p>
      <w:r>
        <w:t>in Ziffer</w:t>
      </w:r>
    </w:p>
    <w:p>
      <w:r>
        <w:t>70 enthalten und der Wirtschaftszweig « Werbung und Marktforschung » in Ziffer</w:t>
      </w:r>
    </w:p>
    <w:p>
      <w:r>
        <w:t>7 3.</w:t>
      </w:r>
    </w:p>
    <w:p>
      <w:r>
        <w:t>Unter Berücksichtigung der durchschnittlichen wöchentlichen Arbeitszeit in der entsprechenden , übergeordneten Wirtschaftsabteilung M «Erbringung von freibe ruflichen, wissenschaftlichen und technischen Dienstleistungen» (Ziffer 69 - 75) von 41 . 5 Stunden im Jahr 201</w:t>
      </w:r>
    </w:p>
    <w:p>
      <w:r>
        <w:rPr>
          <w:b/>
        </w:rPr>
        <w:t>E. 2.4</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118 V 293 E. 2c mit Hinwei sen; vgl. auch BGE 144 V 245 E. 6.1). 3. 3.1</w:t>
      </w:r>
    </w:p>
    <w:p>
      <w:r>
        <w:t>Die Beschwerdegegnerin führte zur Begründung des angefochtenen Einsprache entscheides aus,</w:t>
      </w:r>
    </w:p>
    <w:p>
      <w:r>
        <w:t>gestützt auf das Gutachten der MEDAS F.___ vom 2 8. Dezember 2020 sei ab dem 1. Januar 2019 von einer wegen des vermehrte Pausenbedarfs um 20 % eingeschränkten Arbeitsfähigkeit in der angestammten und in einer leidens angepassten Tätigkeit auszugehen. Von 2016 bis Ende 2019 habe eine 100%ige Arbeitsfähigkeit in einer leidensangepassten Tätigkeit mit dem von Dr. D.___ umschriebenen Zumutbarkeitsprofil bestanden. Das im MEDAS-Gutachten beschriebene Zumutbarkeitsprofil sei für die Zeit ab 2019 im Wesent lichen gleich ausgefallen. Im Unterschied zum Gutachten von Dr. D.___ bestehe ab 2019 jedoch ein vermehrter Pausenbedarf und das Heben sowie Tragen von Lasten sei auf sieben Kilogramm beschränkt. Zumutbar seien dem Beschwerde führer damit noch wechselbelastende Tätigkeiten mit höherem Anteil sitzender Arbeiten, ohne Heben und Tragen von schweren Lasten von mehr als sieben Kilogramm, ohne rein stehende und rein gehende Arbeiten, ohne Arbeiten verbunden mit Arbeiten in gebückten Zwang s positionen und mit Gehen auf unebenem Boden sowie ohne das Begehen von Treppen und Gerüsten.</w:t>
      </w:r>
    </w:p>
    <w:p>
      <w:r>
        <w:t>Zur Festlegung des Invaliditätsgrades erübrige sich für den Zeitraum von 2016 bis Ende 2018 ein Einkommensvergleich, da die zuletzt ausgeübte Tätigkeit bei der Z.___ AG dem im Gutachten von Dr. D.___ beschriebenen leidens angepassten Arbeitsplatz entspreche, wo dieser an einem festen Arbeits platz und im Homeoffice mit gelegentlichen Aussendienstarbeiten gearbeitet habe. Dies ergebe keinen Anspruch auf eine Invalidenrente in dieser Zeit . Ein Einkommensvergleich würde im Übrigen ausgehend von einem Validen einkommen per 2015 von Fr. 121'300.-- und einem Invalideneinkommen auf grund der Lohnstrukturerhebung (LSE) 2014, Tabelle</w:t>
      </w:r>
    </w:p>
    <w:p>
      <w:r>
        <w:t>17 , Total Männer, Ziffer 25, von Fr. 114'346.60 einen Invaliditätsgrad von 5,7</w:t>
      </w:r>
    </w:p>
    <w:p>
      <w:r>
        <w:t>% ergeben und daher zu dem selben Ergebnis führen.</w:t>
      </w:r>
    </w:p>
    <w:p>
      <w:r>
        <w:t>Für die Zeit ab Januar 2019 sei d er Einkommens vergleich mit einem Validenein kommen</w:t>
      </w:r>
    </w:p>
    <w:p>
      <w:r>
        <w:t>per 2018 von Fr. 122'942.-- vorzunehmen , welches ausgehend vom Ein kommen des Beschwerdeführers bei der Z.___ AG von Fr. 119'025.-- im Jahr 2012 unter Berücksichtigung der Nominallohnentwicklung aufgerechnet auf das Jahr 2018 festgelegt worden sei. Das gestützt auf die LSE ermittelte Invaliden einkommen betrage bei einer Arbeitsfähigkeit von 80 % Fr. 92'353.80 und ergebe einen Invaliditätsgrad von 25 %, wobei auf eine Reduktion auf diesen Invalidi tätsgrad, der im Vergleich mit jenem von 26 % gemäss der Verfügung vom 1. Juli 2019 nur geringfügig sei, verzichtet werde. Bei der Ermittlung des Invalidenein kommens sei ebenfalls auf die Ziffer 25 (akademische und vergleichbare Fach kräfte in der Informations- und Kommunikationstechnologie) der Tabelle 17 , LSE 201</w:t>
      </w:r>
    </w:p>
    <w:p>
      <w:r>
        <w:rPr>
          <w:b/>
        </w:rPr>
        <w:t>E. 7</w:t>
      </w:r>
    </w:p>
    <w:p>
      <w:r>
        <w:t>S. 2). In der Replik vom 14. April 2023 hielt der Beschwerdeführer an seinen Anträgen fest (Urk. 18 S. 5 ) . Die Beschwerdegegnerin nahm dazu mit Duplik vom 1. Mai 2023 Stellung und hielt an ihrem Antrag auf Beschwerdeabweisung fest (Urk. 22 S. 1 ) , was dem Beschwerdeführer am 4. Mai 2023 zur Kenntnis gebracht wurde (Urk. 23).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Übergangs bestimmungen).</w:t>
      </w:r>
    </w:p>
    <w:p>
      <w:r>
        <w:t>Der hier zu beurteilende Unfall hat sich am 20. August 1987 ereignet, weshalb die bis 31. Dezember 2016 gültig gewesenen Normen Anwendung finden und in dieser Fassung zitiert werden. 2.</w:t>
      </w:r>
    </w:p>
    <w:p>
      <w:r>
        <w:rPr>
          <w:b/>
        </w:rPr>
        <w:t>E. 8</w:t>
      </w:r>
    </w:p>
    <w:p>
      <w:r>
        <w:t>( Betriebsübliche Arbeitszeit nach Wirtschaftsab teilungen in Stunden pro Woche, Tabelle T 03.02.03.01.04.01) und der Nominallohn entwicklung von 20 18 bis 2019</w:t>
      </w:r>
    </w:p>
    <w:p>
      <w:r>
        <w:t>in der gleichen</w:t>
      </w:r>
    </w:p>
    <w:p>
      <w:r>
        <w:t>Wirtschaft s abteilung ( Nominallohnindex, Männer, 2016-2020, Basis 2015 = 100, Tabelle T1.1.93 , « frei berufliche, wissenschaftliche und technische Tätigkeiten » , Ziffer 69 - 75; 20 18 : 101.5 ; 20 19 : 103.5 )</w:t>
      </w:r>
    </w:p>
    <w:p>
      <w:r>
        <w:t>resultiert für das Jahr 2019 ein Jahreseinkommen von Fr. 111'845.75 ( Fr. 8'810.--</w:t>
      </w:r>
    </w:p>
    <w:p>
      <w:r>
        <w:t>x 12 : 40 x 41 . 5</w:t>
      </w:r>
    </w:p>
    <w:p>
      <w:r>
        <w:t>: 101.5 x 103.5 ).</w:t>
      </w:r>
    </w:p>
    <w:p>
      <w:r>
        <w:t>Dies ergibt mit der verbleibenden Restarbeitsfähigkeit von 80 % ein Invaliden ein kommen von Fr. 89'476.6 0</w:t>
      </w:r>
    </w:p>
    <w:p>
      <w:r>
        <w:t>( Fr. 111'845.75 x 0,8). 4. 5 .5</w:t>
      </w:r>
    </w:p>
    <w:p>
      <w:r>
        <w:t>Was der Beschwerdeführer des Weiteren zum Invalideneinkommen und insbe sondere gegen die Verwendung der Tabelle T17 einwendet, führt zu keiner ande ren Betrachtungsweise. Namentlich spricht das Vorbringen , sein e Karriere ent spreche nicht jener einer Führungskraft und er habe nie einen akademischen Grad erreicht ( Urk. 1 S.</w:t>
      </w:r>
    </w:p>
    <w:p>
      <w:r>
        <w:t>8 f., Urk. 18 S. 5 ), nicht gegen die Anwendung von Ziffer</w:t>
      </w:r>
    </w:p>
    <w:p>
      <w:r>
        <w:t>24 der Tabelle T1 7. Zum einen sind die Zentralwerte dieser Berufsgruppe nicht gleichbedeutend mit der Position und dem Lohnniv e au von Führungskräften, welche unter einer eigenen Berufsgruppe nach ISCO-08 in Ziffer 1 der Tabelle T17 mit einem deutlich höheren mittleren Monatseinkommen von Männern (&gt;= 50 Jahre)</w:t>
      </w:r>
    </w:p>
    <w:p>
      <w:r>
        <w:t>von Fr. 11'317.-- pro Monat zusammengefasst sind. Zum anderen umfasst die Ziffer 24 nicht nur akademische Berufe, sondern auch vergleichbare Fachkräfte unter anderem in Vertrieb, Marketing und Öffentlichkeitsarbeit (vgl. oben E. 4.5.3). Da der Beschwerdeführer nicht nur die Maturität und den PR-Fachmann mit eidgenössischem Fachausweis erworben hat, sondern nebst der jahrelangen beruflichen Erfahrung ausserdem das Nachdiplom- Intensivstudium «Kommunikation und Management» absolviert und insbesondere den Master of</w:t>
      </w:r>
    </w:p>
    <w:p>
      <w:r>
        <w:t>Advanced Studies in Services Marketing und Management mit 60 ECTS-Punkten ( European Credit Transfer System ) entsprechend 1'800 Arbeitsstunden (ein schliesslich 910 Unterrichtslektionen, Prüfungen und Masterarbeit; Urk. 10/K 124.8 ) erworben hat, handelt es sich bei ihm um eine qualifizierte Fach kraft auf Hochschulniveau und damit insgesamt jedenfalls um eine (zu akademi schen Berufen ) «vergleichbare Fachkraft» im Sinne von ISCO-08 Ziffer 2431-243 2. Dies zeigt sich a uch darin, dass er mit dieser Ausbildung den Zentralwert-Lohn von Ziffer 24 der Tabelle T17 im Gesundheitsfall übertroffen hätte .</w:t>
      </w:r>
    </w:p>
    <w:p>
      <w:r>
        <w:t>4. 6</w:t>
      </w:r>
    </w:p>
    <w:p>
      <w:r>
        <w:t>Es bleibt damit beim Invalideneinkommen von Fr. 89'476.6 0. Der Einkommens vergleich mit dem</w:t>
      </w:r>
    </w:p>
    <w:p>
      <w:r>
        <w:t>Valideneinkommen von Fr. 122'942.--</w:t>
      </w:r>
    </w:p>
    <w:p>
      <w:r>
        <w:t>führt zu einer Einbusse von Fr. 33'465.40 ( Fr. 122'942.--</w:t>
      </w:r>
    </w:p>
    <w:p>
      <w:r>
        <w:t>- Fr. 89'476.60 ), was einem Invaliditätsgrad von gerundet 27 % (Fr. 33'465.40 x</w:t>
      </w:r>
    </w:p>
    <w:p>
      <w:r>
        <w:t>100 :</w:t>
      </w:r>
    </w:p>
    <w:p>
      <w:r>
        <w:t>Fr. 122'942.-- ) entspricht.</w:t>
      </w:r>
    </w:p>
    <w:p>
      <w:r>
        <w:t>Der angefochtene Einspracheentscheid , welcher von einem 25%igen Invaliditäts grad ausging, den am 1. Juli 2021 verfügten 26%igen Invaliditätsgrad aber anerkannt hat (Urk. 2 S.</w:t>
      </w:r>
    </w:p>
    <w:p>
      <w:r>
        <w:rPr>
          <w:b/>
        </w:rPr>
        <w:t>E. 9</w:t>
      </w:r>
    </w:p>
    <w:p>
      <w:r>
        <w:t>), ist somit im Ergebnis nur leicht, aber immerhin inso fern in teilweiser Gutheissung der Beschwerde abzuändern , als festzustellen ist, dass der Beschwerdeführer Anspruch auf eine Invalidenrente ab dem 1. Januar 2019 basierend auf einem Invaliditätsgrad von 27 % hat. 5 .</w:t>
      </w:r>
    </w:p>
    <w:p>
      <w:r>
        <w:t>Dem teilweise obsiegenden Beschwerdeführer steht - angesichts der sehr geringen Abweichung vom von der Beschwerdegegnerin vertretenen Standpunkt und vom angefochtenen Entscheid - eine reduzierte P artei entschädigung zu</w:t>
      </w:r>
    </w:p>
    <w:p>
      <w:r>
        <w:t>(vgl. Urteil des Bundesgerichts 8C_471/2007 vom 1. Februar 2008 E. 3.2) , welche nach Art. 61 lit . g ATSG in Verbindung mit § 34 des Gesetzes über das Sozialversicherungs gericht ohne Rücksicht auf den Streitwert nach der Bedeutung der Streitsache, nach der Schwierigkeit des Prozesses, dem Zeitaufwand und den Barauslagen auf Fr. 1’500 .-- (inklusive Barauslagen und Mehrwertsteuer von 7.7 % ) festzusetzen ist. Das Gericht erkennt: 1.</w:t>
      </w:r>
    </w:p>
    <w:p>
      <w:r>
        <w:t>In teilweiser Gutheissung wird d er angefochtene Einspracheentscheid vom 19. September 2022 insoweit</w:t>
      </w:r>
    </w:p>
    <w:p>
      <w:r>
        <w:t>abgeändert , als festgestellt wird , dass der Beschwerde führer Anspruch auf eine Invalidenrente ab dem 1. Januar 2019 basierend auf einem Invaliditätsgrad von 27 % hat. 2.</w:t>
      </w:r>
    </w:p>
    <w:p>
      <w:r>
        <w:t>Das Verfahren ist kostenlos. 3.</w:t>
      </w:r>
    </w:p>
    <w:p>
      <w:r>
        <w:t>Die Beschwerdegegnerin wird verpflichtet, dem Beschwerdeführer eine reduzierte P ar tei entschädigung von Fr. 1'50 0.-- (inkl. Barauslagen und MWSt ) zu bezahlen. 4.</w:t>
      </w:r>
    </w:p>
    <w:p>
      <w:r>
        <w:t>Zustellung gegen Empfangsschein an: - Rechtsanwältin Christine Fleisch - Schweizerische Mobiliar Versicherungsgesellschaft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