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UV.2022.00145 vom 3. März 2023</w:t>
      </w:r>
    </w:p>
    <w:p>
      <w:r>
        <w:t>ZH Sozialversicherungsgericht, 2023-03-03, DE</w:t>
      </w:r>
    </w:p>
    <w:p>
      <w:r>
        <w:rPr>
          <w:b/>
        </w:rPr>
        <w:t xml:space="preserve">Quelle: </w:t>
      </w:r>
      <w:r>
        <w:t>https://mcp.opencaselaw.ch/entscheid/zh_sozialversicherungsgericht_UV.2022.00145</w:t>
      </w:r>
    </w:p>
    <w:p>
      <w:r>
        <w:t>FR: ZH_SOZIALVERSICHERUNGSGERICHT UV.2022.00145 du 3 mars 2023</w:t>
      </w:r>
    </w:p>
    <w:p>
      <w:r>
        <w:t>IT: ZH_SOZIALVERSICHERUNGSGERICHT UV.2022.00145 del 3 marzo 2023</w:t>
      </w:r>
    </w:p>
    <w:p>
      <w:pPr>
        <w:pStyle w:val="Heading2"/>
      </w:pPr>
      <w:r>
        <w:t>Erwägungen</w:t>
      </w:r>
    </w:p>
    <w:p>
      <w:r>
        <w:rPr>
          <w:b/>
        </w:rPr>
        <w:t>E. 04</w:t>
      </w:r>
    </w:p>
    <w:p>
      <w:r>
        <w:t>zu Recht als unfallfremd beur teilte. 7.2</w:t>
      </w:r>
    </w:p>
    <w:p>
      <w:r>
        <w:t>Zur Frage nach der Heilbehandlung , die zur Erhaltung der verbleibenden Erwerbsfähigkeit im Sinne von Art. 21 Abs. 1 lit c UVG notwendig ist , hat sich Dr. G.___ in den Berichten von 15. Januar 2021 und 28. Januar 2022 geäussert. Im Bericht vom 15. Januar 2021 bezeichnete er eine Behandlungsfrequenz mit zweiwöchentlichen Konsultationen resp. bei wiederkehrenden manifesten psy chopathologischen Symptomen mit wöchentliche n Konsultation en als angemes sen und zweckmässig (Urk. 6/M4). Im Bericht vom 28. Januar 2022 revidierte er diese Aussage und postulierte als Folge des Ereignisses vom 28. November 2004 ein en</w:t>
      </w:r>
    </w:p>
    <w:p>
      <w:r>
        <w:t>zwei- bis vierwöchige n Behandlungsrhythmus. Dazu gelangte er gestützt auf die nämliche Aktenlage wie im Bericht vom 15. Januar 2021 und ohne (zwi schenzeitliche) Untersuchung der Beigeladenen. Die revidierte Einschätzung begründete er damit, dass er im Bericht vom 15. Januar 2021 alle dokumentierten psychischen Beeinträchtigungen und manifesten Beschwerden berücksichtigt habe (Urk. 6/M5 S. 4). Diese Begründung überzeugt nicht. Die im Bericht vom 15.</w:t>
      </w:r>
    </w:p>
    <w:p>
      <w:r>
        <w:t>Januar 2021 abgegebene Einschätzung betraf die Notwendigkeit von Heilbehand lung en zur Erhaltung der verbleibenden Arbeitsfähigkeit. Es ergeben sich denn auch keine Anhaltspunkte dafür, dass in diesem Bericht die Folgen der im Juni 2011 erfolgten Retraumatisierung eingeflossen wären , zumal Dr. G.___ den Anspruchsbeginn für eine andauernde psychiatrisch-psychotherapeutische Behandlung ausdrücklich auf den 1. Januar 2011 festsetzte. Vorab hatte er darauf hingewiesen, im weiteren Verlauf sei ersichtlich geworden, dass der Erhalt des Funktionsniveaus an die kontinuierliche therapeutische Präsenz von wöchentli chen Konsultationen gebunden geblieben sei und ab 2007 eine ausreichende Sta bilität habe erreicht werden können, die mit dieser kontinuierlichen therapeuti schen Behandlung habe gehalten werden können (Urk. 6/M4 S. 5-6).</w:t>
      </w:r>
    </w:p>
    <w:p>
      <w:r>
        <w:t>Es ist mithin gestützt auf den Bericht vom 15. Januar 2021 davon au szugehen, dass für die Erhaltung der verbleibenden Erwerbs fähigkeit eine Behandlung mit zweiwö chentlichen Konsultationen resp. bei verschlechtertem Gesundheitszustand vorübergehend mit einwöchiger Konsultation angemessen ist. Auf dieser Grund lage basiert der Erledigungsvorschlag der Beschwerdegegnerin vom 24.</w:t>
      </w:r>
    </w:p>
    <w:p>
      <w:r>
        <w:t>November 2021 (Urk. 6/G12). Daraus ergibt sich, dass die zu vergütenden Heil behandlungskosten vom 5. Januar 2011 bis 5. April 2021 Fr. 43'986.15 betragen. Die Differenz zu den effektiven Heilbehandlungskosten von Fr.</w:t>
      </w:r>
    </w:p>
    <w:p>
      <w:r>
        <w:t>46'752.95 erklärt sich dadurch, dass die Konsultationen teilweise die Behandlungsfrequenz über stieg en , für die die B eschwerdegegnerin aufzukommen hat. Dazu kommen die weiteren , mit Einsprache geltend gemachten Heilbehandlungskosten bis 10. Dezember 2021 (für die mittlerweile einmal monatlich stattfindenden Behandlun gen) im Betrag von Fr. 1'489.30 (Urk. 6/J18) sowie die unbestritten gebliebene Vergütung für Medikamente in der Höhe v on Fr. 2'250.20. Insgesamt ergibt sich somit ein Betrag von Fr. 47'725.65 ( Fr.</w:t>
      </w:r>
    </w:p>
    <w:p>
      <w:r>
        <w:t>43'986.15 + Fr. 1'489.30 + Fr. 2'250.20 ).</w:t>
      </w:r>
    </w:p>
    <w:p>
      <w:r>
        <w:rPr>
          <w:b/>
        </w:rPr>
        <w:t>E. 7</w:t>
      </w:r>
    </w:p>
    <w:p>
      <w:r>
        <w:t>3</w:t>
      </w:r>
    </w:p>
    <w:p>
      <w:r>
        <w:t>Zusammenfassend ist festzuhalten, dass die Beschwerdegegnerin in Aufhebung des angefochtenen Einspracheentscheids zu verpflichten ist, d er Beschwerdefüh rerin die von ihr in Vorleistung erbrach t en Heilbehandlungskosten (5. Januar 2011 bis 10. Dezember 2021) , inkl. Medikamentenkosten, im Betrag von Fr.</w:t>
      </w:r>
    </w:p>
    <w:p>
      <w:r>
        <w:t>47'725.65 zurückzuerstatten. Soweit die Vorleistungen der Beschwerdefüh rerin aktenkundig sind, sind sie somit von der Beschwerdegegnerin in diesem Umfang zurückzuerstatten.</w:t>
      </w:r>
    </w:p>
    <w:p>
      <w:r>
        <w:rPr>
          <w:b/>
        </w:rPr>
        <w:t>E. 8</w:t>
      </w:r>
    </w:p>
    <w:p>
      <w:r>
        <w:t>Als Organisation mit öffentlich-rechtlichen Aufgaben hat die in ihrem amtlichen Wirkungskreis obsiegende Beschwerdeführerin keinen Anspruch auf Parteient schädigung ( Urteil des Bundesgerichts 8C_512/2008 vom 14. Januar 2009 E. 7) . Ihr ist somit trotz ihrem Antrag (Urk. 1 S. 2) keine Prozessentschädigung zuzu sprechen. Das Gericht erkennt: 1.</w:t>
      </w:r>
    </w:p>
    <w:p>
      <w:r>
        <w:t>Die Beschwerde wird in dem Sinne gutgeheissen, dass der angefochtene Einsprache entscheid vom 29. Juni 2022 aufgehoben und die Unfallversicherung Y.___ ver pflichtet wird , die von der SWICA Krankenversicherung AG in Vorleistung erbrach t en Heilbehandlungskosten, inkl. Medikamentenkosten, im Betrag von Fr. 47'725.65 (Heil behandlungskosten vom 5. Januar 2011 bis 10. Dezember 2021) zurückzuerstatten . 2.</w:t>
      </w:r>
    </w:p>
    <w:p>
      <w:r>
        <w:t>Das Verfahren ist kostenlos. 3.</w:t>
      </w:r>
    </w:p>
    <w:p>
      <w:r>
        <w:t>Eine Prozessentschädigung wird nicht zugesprochen. 4.</w:t>
      </w:r>
    </w:p>
    <w:p>
      <w:r>
        <w:t>Zustellung gegen Empfangsschein an: - SWICA Krankenversicherung AG - Unfallversicherung Y.___ - Rechtsanwältin Annemarie Gurtner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