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UV.2022.00136 vom 20. Dezember 2022</w:t>
      </w:r>
    </w:p>
    <w:p>
      <w:r>
        <w:t>ZH Sozialversicherungsgericht, 2022-12-20, DE</w:t>
      </w:r>
    </w:p>
    <w:p>
      <w:r>
        <w:rPr>
          <w:b/>
        </w:rPr>
        <w:t xml:space="preserve">Quelle: </w:t>
      </w:r>
      <w:r>
        <w:t>https://mcp.opencaselaw.ch/entscheid/zh_sozialversicherungsgericht_UV.2022.00136</w:t>
      </w:r>
    </w:p>
    <w:p>
      <w:r>
        <w:t>FR: ZH_SOZIALVERSICHERUNGSGERICHT UV.2022.00136 du 20 décembre 2022</w:t>
      </w:r>
    </w:p>
    <w:p>
      <w:r>
        <w:t>IT: ZH_SOZIALVERSICHERUNGSGERICHT UV.2022.00136 del 20 dicembre 2022</w:t>
      </w:r>
    </w:p>
    <w:p>
      <w:pPr>
        <w:pStyle w:val="Heading2"/>
      </w:pPr>
      <w:r>
        <w:t>Erwägungen</w:t>
      </w:r>
    </w:p>
    <w:p>
      <w:r>
        <w:rPr>
          <w:b/>
        </w:rPr>
        <w:t>E. 1.1</w:t>
      </w:r>
    </w:p>
    <w:p>
      <w:r>
        <w:t>Am 1. Januar</w:t>
      </w:r>
    </w:p>
    <w:p>
      <w:r>
        <w:t>2017 sind die am 25. September</w:t>
      </w:r>
    </w:p>
    <w:p>
      <w:r>
        <w:t>2015 beziehungsweise am 9. November 2016 verabschiedeten geänderten Bestimmungen des Bundes ge setzes über die Unfallversicherung (UVG) und der Verordnung über die Unfall 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w:t>
      </w:r>
    </w:p>
    <w:p>
      <w:r>
        <w:t>2015 des UVG vor, dass Versicherungsleistungen für Unfälle, die sich vor dem 1. Januar</w:t>
      </w:r>
    </w:p>
    <w:p>
      <w:r>
        <w:t>2017 ereignet haben, und für Berufskrankheiten, die vor diesem Zeit punkt ausgebrochen sind, nach bisherigem Recht gewährt werden (Absatz 1 der genannten Übergangsbestimmungen).</w:t>
      </w:r>
    </w:p>
    <w:p>
      <w:r>
        <w:t>Der hier zu beurteilende Unfall hat sich am 21. Oktober 2016 ereignet, weshalb die bis 31. Dezember 2016 gültig gewesenen Normen auf den vorliegenden Fall An wendung finden und in dieser Fassung zitiert werden.</w:t>
      </w:r>
    </w:p>
    <w:p>
      <w:r>
        <w:rPr>
          <w:b/>
        </w:rPr>
        <w:t>E. 1.2</w:t>
      </w:r>
    </w:p>
    <w:p>
      <w:r>
        <w:t>Gemäss Art.</w:t>
      </w:r>
    </w:p>
    <w:p>
      <w:r>
        <w:rPr>
          <w:b/>
        </w:rPr>
        <w:t>E. 1.3</w:t>
      </w:r>
    </w:p>
    <w:p>
      <w:r>
        <w:t>) und – sofern eine nur vorübergehende Schädigung ausgewiesen wäre – das Dahin fallen jeder kausalen Bedeutung eingehend zu thematisieren. 5.</w:t>
      </w:r>
    </w:p>
    <w:p>
      <w:r>
        <w:t>Die Rückweisung einer Sache kommt einem Obsiegen des Beschwerdeführers gleich. Ausgangsgemäss ist die Beschwerdegegnerin demnach zu verpflichten, dem Beschwerdeführer eine angemessene Prozessentschädigung zu bezahlen, wel che in Anwendung von Art. 61 lit. g ATSG, namentlich unter Berücksichti gung der Bedeutung der Streitsache und der Schwierigkeit des Prozesses auf Fr. 1’700.-- (inklusive Barauslagen und Mehrwertsteuer) festzusetzen ist. Die Möglichkeit der Zusprechung der Entschädigung an den Rechtsvertreter sieht das Gesetz ausser in Fällen unentgeltlicher Vertretung nicht vor. Das Gericht erkennt: 1.</w:t>
      </w:r>
    </w:p>
    <w:p>
      <w:r>
        <w:t>Die Beschwerde wird in dem Sinne gutgeheissen, d ass der angefochtene Einsprache entscheid vom 2 4. Juni 2022 aufgehoben und die Sache an die Beschwerdegegnerin zurückge wiesen wird, damit diese, nach erfolgter Abklärung im Sinne der Erwägungen , über den Leistungsanspruch des Beschwerdeführers neu verfüge. 2.</w:t>
      </w:r>
    </w:p>
    <w:p>
      <w:r>
        <w:t>Das Verfahren ist kostenlos. 3.</w:t>
      </w:r>
    </w:p>
    <w:p>
      <w:r>
        <w:t>Die Beschwerdegegnerin wird verpflichtet, dem Beschwerdeführer eine Prozessent schädigung von Fr. 1’700 .-- ( inklusive Barauslagen und Mehrwertsteuer ) zu bezahlen. 4.</w:t>
      </w:r>
    </w:p>
    <w:p>
      <w:r>
        <w:t>Zustellung gegen Empfangsschein an: - lic.</w:t>
      </w:r>
    </w:p>
    <w:p>
      <w:r>
        <w:t>iur . O.___ - AXA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 zulegen, soweit die Partei sie in Händen hat ( Art. 42 BGG). Sozialversicherungsgericht des Kantons Zürich Der VorsitzendeDer Gerichtsschreiber GräubSchetty</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 bern ehmen, worunter auch die Heilbehandlungskosten nach Art. 10 UVG fallen (Urteil des Bundesgerichts 8C_637/2013 vom 11. März 2014 E. 2.3.2). 2.</w:t>
      </w:r>
    </w:p>
    <w:p>
      <w:r>
        <w:rPr>
          <w:b/>
        </w:rPr>
        <w:t>E. 2</w:t>
      </w:r>
    </w:p>
    <w:p>
      <w:r>
        <w:t>8. September 2022 zur Kenntnis gebracht wurde (Urk. 9 ). Das Gericht zieht in Erwägung: 1.</w:t>
      </w:r>
    </w:p>
    <w:p>
      <w:r>
        <w:rPr>
          <w:b/>
        </w:rPr>
        <w:t>E. 2.1</w:t>
      </w:r>
    </w:p>
    <w:p>
      <w:r>
        <w:t>Die Beschwerdegegnerin begründete den angefochtenen Einspracheentscheid damit, dass gestützt auf die Einschätzung en des beratenden Facharztes, Dr. med. dent . B.___ , sowie derjenigen von Prof. Dr. A.___</w:t>
      </w:r>
    </w:p>
    <w:p>
      <w:r>
        <w:t>davon auszugehen sei, dass die Zahnschädigung am Zahn 11 nicht mit überwiegender Wahrschein lichkeit auf das Ereignis vom 21. Oktober 2016 zurückgeführt werden könne ( Urk. 2 S. 7 ). Das erstellte Aktengutachten sei schlüssig und nachvollziehbar; daran wür den auch die Ausführungen von Dr. Z.___ vom 1 7. Juni 2021 nichts zu ändern vermögen (S. 8). Aus der Behauptung, dass vor dem Unfall eine Periode der Beschwerdefreiheit bestanden habe, könne der Beschwerdeführer nichts zu seinen Gunsten ableiten ( post hoc ergo propter hoc , S. 9).</w:t>
      </w:r>
    </w:p>
    <w:p>
      <w:r>
        <w:rPr>
          <w:b/>
        </w:rPr>
        <w:t>E. 2.2</w:t>
      </w:r>
    </w:p>
    <w:p>
      <w:r>
        <w:t>Demgegenüber machte der Vertreter des Beschwerdefüh rers im Wesentlichen gel tend, dass der im Gutachten erfolgten Beantwortung der Frage 2 entnommen werden könne, dass das Gewaltereignis vom 2 1. Oktober 2016 zumindest eine Teilursache für die Schädigung des Zahnes 11 dargestellt habe, was der Vernei nung des natürlichen Kausalzusammenhangs widerspreche ( Urk. 1 S. 9). Weiter äussere sich der Gutachter nicht zur anderen Beurteilung durch Dr. Z.___ in sei ner Stellungnahme vom 1 7. Juni 2021, sodass fraglich sei, ob dem Gutachter überhaupt sämtliche Vorakten vorgelegen hätten. Weiter sei vor dem Unfall vom 2 1. Oktober 2016 von einer vierjährigen Periode der Beschwerdefreiheit auszuge hen, was dafürspreche , dass die Gewalteinwirkung zu einer zumindest teilkau salen Schädigung des Zahnes 11 geführt habe; dies umso</w:t>
      </w:r>
    </w:p>
    <w:p>
      <w:r>
        <w:t>mehr als von einer massiven Gewalteinwirkung auszugehen sei, welche zu einer Kontusion aller Front zähne geführt habe (S. 10 f. ). 3. 3.1</w:t>
      </w:r>
    </w:p>
    <w:p>
      <w:r>
        <w:t>Dr. Z.___ gab in seiner Befundaufnahme vom 24. Oktober 2016 die folgenden Zähne als kontusioniert an: 12, 11, 21, 22, 41 und 31. Bei Zahn</w:t>
      </w:r>
    </w:p>
    <w:p>
      <w:r>
        <w:rPr>
          <w:b/>
        </w:rPr>
        <w:t>E. 6</w:t>
      </w:r>
    </w:p>
    <w:p>
      <w:r>
        <w:t>Abs. 1 UVG massgebenden Ursachen auch Umstände gehören, ohne deren Vorhandensein die gesundheitliche Beeinträchti gung nicht zur gleichen Zeit eingetreten wäre. Eine schadensauslösende trau matische Einwirkung wirkt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Unfall nur Gelegen heits -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 begründenden Teilursache zu, wenn das aus der potentiellen patho genen Gesam tursache resultierende Risiko zuvor nicht dermassen gegen wärtig war, dass der auslösende Faktor gleichsam beliebig und austauschbar erschiene. Dagegen ent spricht die unfallbedingte Einwirkung - bei erstelltem Auslöse zusammenhang - einer (anspruchshindernden) Gelegenheits- oder Zufall 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 tungs faktor zu annähernd gleicher Zeit dieselbe Gesundheits schädigung hätte bewirken können, erscheint der Unfall nicht als kausal signifikantes Ereignis, sondern als austauschbarer Anlass; es entsteht daher keine Leistungspflicht des obligatori schen Unfallversicherers ( Urteil des Bundesgerichts 8C_587/2020 vom 5. Februar 2021 E. 6.1 mit Hinweisen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11</w:t>
      </w:r>
    </w:p>
    <w:p>
      <w:r>
        <w:t>mit grosser apikaler Aufhellung, grossem Stift, ohne apikales Siegel (d.h. es hat kein Wurzelfüllungsmaterial apikal des Stiftes), Krone sowie apikaler Resorption (S . 2). Am 3 0. September 2008 seien drei Bilder mit Guttapercha erstellt worden; solche Auf nahmen würden gemacht, wenn ein Fistelgang bestehe und somit Behand lungs bedarf bestehe. Das Bild vom 1 7. November 2008 zeige die Verschattung nach einer Wurzelspitzenresektion noch deutlicher (was zu erwarten sei) . Am 2 5. Mai 2009 sei die Auffüllung der Läsion mit Knochen deutlich ersichtlich, das Bild vom 1 2. Oktober 2012 zeige die Abheilung nach der Wurzelspitzenresektion (S. 3). In den Bildern in der Zeit nach dem 2 4. Oktober</w:t>
      </w:r>
    </w:p>
    <w:p>
      <w:r>
        <w:t>2016 erscheine die Verschattung wieder etwas grösser zu sein. Die Bilder</w:t>
      </w:r>
    </w:p>
    <w:p>
      <w:r>
        <w:t>vom 2 5. September 2018 sowie vom 9. März 2021 würden die persistierende Aufhellung zeigen (S . 4 ).</w:t>
      </w:r>
    </w:p>
    <w:p>
      <w:r>
        <w:t>Schon vor dem Ereignis 2016 sei der Zahn 11 eindeutig unfallgeschädigt gewe sen. So habe am Zahn 11 periapikal ein Status nach Wurzelspitzenresektion/en</w:t>
      </w:r>
    </w:p>
    <w:p>
      <w:r>
        <w:t>( ? )</w:t>
      </w:r>
    </w:p>
    <w:p>
      <w:r>
        <w:t>b estanden bei einer etwas grösseren Verschattung als am 1 2. Oktober 2012 mit grossem Stift, Aufbau und Krone. Apikal des Stiftes bestehe kein apikales Siegel, der Zahn habe nur noch wenig Zahnhartsubstanz (S. 4 unten). Der Zahn 11 habe schon lange eine unsichere Prognose. Dennoch sei immer wieder versucht wor den , den Zahl 11 zu erhalten, weil es nach Extrakti o n eines Zahnes meistens zu Knochenresorption und Verlust der Papillen komm e . Gerade bei jungen Patienten im ästhetisch wichtigen Bereich sollte die Zähne möglichst lange erhalten werden. Es sei denn auch so, dass der Zahn 11 in den beigelegten Fotos gut aussehe und radiologisch noch bis zum 9. März 2021 in situ gewesen sei. Am 2 4. Oktober 2016 habe ein Status nach Vitalitätsverlust und Trauma, behandelt mit Wurzelkanal behandlung, Stift, Aufbau, Kronen, Wurzelspitzenresektion/en ( ? ) , Fistel sowie klinischer Symptome bestanden. Eine Fraktur habe nicht nachgewiesen werden können, eine solche müsse aber auch nicht unbedingt in einem periapikalen Rönt genbild erkennbar sei n .</w:t>
      </w:r>
    </w:p>
    <w:p>
      <w:r>
        <w:t>Durch das Ereignis vom 2 1. Oktober 2016 habe der Zahn 11 möglicherweise noch den letzten Schaden abbekommen, der die bis dahin noch gewährleistete Funk tion nun noch vollständig zunichte gemacht habe. Dies in Form der wieder auftretenden Fistel, Schmerzen und möglicherweise einer Fraktur sowie dem Wiederauftreten der Fistel.</w:t>
      </w:r>
    </w:p>
    <w:p>
      <w:r>
        <w:t>Demgegenüber hätten am 2 4. Oktober 2016 schon die folgenden Vorverletzungen bestanden: Status nach Vitalitätsverlust und mehreren Traum a ta, viel Zahnhart substanzverlust behandelt mit Wurzelkanalbehandlung, sehr massiver Stift ohne apikales Siegel und somit mit einem undichten Verschluss, Aufbau, Kronenver sorgungen, Wurzelspitzenresektion/en ( ? ) bis auf den Stift , Resorptionen. Mit dem natürlichen Verlauf habe der Zahn schon vor dem Trauma vom 2 1. Oktober 2016 eine sehr schlechte Prognose gehabt. Ursachen dafür seien die früheren Traumata und deren Behandlungen und Folgebehandlungen. Die geplante Behandlung mit Extraktion und Implantatkrone R egio 11 stehe nicht mit überwiegender Wahr scheinlichkeit in natürlichem Kausalzusammenhang zum Ereignis vom 2 1. Okto ber 2016 (S. 5). 4. 4.1</w:t>
      </w:r>
    </w:p>
    <w:p>
      <w:r>
        <w:t>Strittig und zu prüfen ist vorliegend allein, ob die im Nachgang des Unfall ge schehens vom 21. Oktober 2016 aufgetretenen Beschwerden am Zahn 11 auf die sen Unfall zurückzuführen sind.</w:t>
      </w:r>
    </w:p>
    <w:p>
      <w:r>
        <w:t>Das Gericht hat den Sachverhalt von Amtes wegen festzustellen und demnach zu prüfen, ob die vorliegenden Beweismittel eine zuverlässige Beurteilung des strit tigen Leistungsanspruches gestatten. Hinsichtlich des Beweiswertes eines Arzt berichtes ist entscheidend, ob der Bericht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Schlussfolgerungen des Experten begrün det sind (BGE 125 V 352 E. 3a, 122 V 160 E. 1c, je mit Hinweisen). 4.2</w:t>
      </w:r>
    </w:p>
    <w:p>
      <w:r>
        <w:t>Prof. Dr. A.___ legt e den medizinischen Sachverhalt - insbesondere was den Verlauf des mehrfach vorgeschädigten Zahnes 11 betrifft – detailliert, aber im Wesentlichen allein aufgrund der vorhandenen Röntgenbilder dar . Dem Akten gutachten ist dabei nicht zu entnehmen, welche anderen medizinischen Akten Prof. Dr. A.___ noch vorgelegen haben. So mangelt es dem Gutachten auch an einer Würdigung der medizini schen Vorakten , insbesondere des Bericht s von Dr. Z.___ vom 1 7. Juni 2021, in welchem dieser seine Einschätzung der Sachlage ausführlich begründet e ( Urk. 9/M17). Auf das Aktengutachten kann schon allein deshalb nicht ohne Weiterungen abgestellt werden. 4.3</w:t>
      </w:r>
    </w:p>
    <w:p>
      <w:r>
        <w:t>Nicht zu überzeugen vermag das Aktengutachten auch hinsichtlich der Beant wortung der Frage 2 («Welche Verletzungen stehen mit überwiegender Wahr scheinlichkeit [zumindest im Sinne einer Teilursache] in natürlichem Kausal zusammenhang zum Ereignis vom 2 1. Oktober 2016?»). Soweit Prof. Dr. A.___ dabei auf die Möglichkeit einer wiederaufgetretenen Fistel oder einer Fraktur ver weist , könnte dies dahingehend interpretiert werden, dass auch er von einer Teil ursache des Unfallgeschehens vom 2 1. Oktober 2016 ausgeht , was wiederum sei ner abschliessenden Einschätzung der Sachlage widersprechen würde. Zumindest beantwort et er die gestellte Frage nicht. Bei der F rage 3</w:t>
      </w:r>
    </w:p>
    <w:p>
      <w:r>
        <w:t>( « Gibt</w:t>
      </w:r>
    </w:p>
    <w:p>
      <w:r>
        <w:t>es Verletzungen am Zahn 11 , die nicht mit überwiegender Wahrscheinlichkeit in natürlichem Kausalzusammenhang zum Ereignis vom 2 1. Oktober 2016 stehen ? » ) erwähnt er ein zig die Vorverletzungen und verweist auf eine deswegen gegebene sehr schlechte Prognose des Zahnes 1 1. Die nach dem Ereignis vom 2 1. Oktober 2016 wieder aufgetretene Fistel und mögliche Fraktur erwähnt er nicht, was wiederum seiner abschliessenden Einschätzung der Sachlage widersprechen könnte. Eine nach vollziehbar begründete und schlüssige Grundlage zur Beurteilung der Unfall kausalität (vgl. E. 1.3) stellt das Gutachten nicht dar. Eine eingehende Ausein andersetzung mit den Ausführungen von Dr. Z.___ erscheint dabei in zweierlei Hin sicht geboten. So erfolgte die Rückweisung der Sache mit Urteil vom 1 2. März 2020 insbesondere zur abschliessenden Beurteilung der divergierenden Auffas sungen von Dr. Z.___ sowie Dr. B.___ . Weiter begründet e</w:t>
      </w:r>
    </w:p>
    <w:p>
      <w:r>
        <w:t>Dr. Z.___ seine Einschätzung der Sachlage in seiner Stellungnahme vom 1 7. Juni 2021 ausführ lich und unter Bezugnahme der durchgeführten Behandlungen; die entsprechende Argumentation kann dabei nicht ohne weitere Abklärungen von der Hand gewie sen werden. 4.4</w:t>
      </w:r>
    </w:p>
    <w:p>
      <w:r>
        <w:t>Zusammenfassend gestaltet sich die Sachlage hinsichtlich der Beurteilung der natürlichen Kausalität wieder ähnlich wie bereits im Zeitpunkt des Urteils vom 1 2. März 202 0. Es ist daher unumgänglich , die Streitsache erneut an die Beschwerdegegnerin zur rechtsgenüglichen Abklärung der natürlichen Kausalität zurückzuweisen. Dabei sind insbesondere auch die Möglichkeiten der Teil kausalität ( und in Abgrenzung zur Gelegenheits- und Zufallsursache , vgl.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