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UV.2022.00096 vom 20. Januar 2023</w:t>
      </w:r>
    </w:p>
    <w:p>
      <w:r>
        <w:t>ZH Sozialversicherungsgericht, 2023-01-20, DE</w:t>
      </w:r>
    </w:p>
    <w:p>
      <w:r>
        <w:rPr>
          <w:b/>
        </w:rPr>
        <w:t xml:space="preserve">Quelle: </w:t>
      </w:r>
      <w:r>
        <w:t>https://mcp.opencaselaw.ch/entscheid/zh_sozialversicherungsgericht_UV.2022.00096</w:t>
      </w:r>
    </w:p>
    <w:p>
      <w:r>
        <w:t>FR: ZH_SOZIALVERSICHERUNGSGERICHT UV.2022.00096 du 20 janvier 2023</w:t>
      </w:r>
    </w:p>
    <w:p>
      <w:r>
        <w:t>IT: ZH_SOZIALVERSICHERUNGSGERICHT UV.2022.00096 del 20 gennaio 2023</w:t>
      </w:r>
    </w:p>
    <w:p>
      <w:pPr>
        <w:pStyle w:val="Heading2"/>
      </w:pPr>
      <w:r>
        <w:t>Erwägungen</w:t>
      </w:r>
    </w:p>
    <w:p>
      <w:r>
        <w:rPr>
          <w:b/>
        </w:rPr>
        <w:t>E. 1</w:t>
      </w:r>
    </w:p>
    <w:p>
      <w:r>
        <w:t>gestützt auf eine kreisärztliche Beurteilung von Dr.</w:t>
      </w:r>
    </w:p>
    <w:p>
      <w:r>
        <w:t>med. B.___ , Fachärztin für Allgemeine Innere Medizin, vom 12. August 2021 (Urk. 11/42) ein. Die Einsprache der Versicherten dagegen</w:t>
      </w:r>
    </w:p>
    <w:p>
      <w:r>
        <w:t>(Urk. 11/55 und Urk. 11/59 ) wies sie mit Entscheid vom 25 . März 202</w:t>
      </w:r>
    </w:p>
    <w:p>
      <w:r>
        <w:rPr>
          <w:b/>
        </w:rPr>
        <w:t>E. 2</w:t>
      </w:r>
    </w:p>
    <w:p>
      <w:r>
        <w:t>(Urk. 1)</w:t>
      </w:r>
    </w:p>
    <w:p>
      <w:r>
        <w:t>Beschwerde an das Versicherungsgericht des Kantons Aar gau . Diese s überwies die Beschwerde am 17. Mai 2022 zufolge örtlicher Unzu ständigkeit</w:t>
      </w:r>
    </w:p>
    <w:p>
      <w:r>
        <w:t>an das hiesige G ericht (Urk. 5). Die Versicherte be antragte in ihrer Beschwerde , der Einspracheentscheid vom 25. März 2022 sei aufzuheben und die Beschwerdegegnerin sei zu verurteilen , ihr die gesetzlichen Leistungen auszurich ten ( Urk. 1 S.</w:t>
      </w:r>
    </w:p>
    <w:p>
      <w:r>
        <w:t>2). Daneben reichte die Beschwerdeführer in unter anderem einen radiologischen Befundbericht von PD Dr. med. E.___ , Facharzt für Radiologie FMH, vom 17. November 2021 (Urk. 3/4) und eine Stellungnahme von Dr. C.___ vom 19. April 2022 (Urk. 3/5) ein.</w:t>
      </w:r>
    </w:p>
    <w:p>
      <w:r>
        <w:t>In ihrer Beschwerdeantwort vom 23. August 2022 (Urk. 9 ) schloss die Beschwer degegnerin auf Abweisung der Beschwerde und reichte ihrerseits unter anderem eine ärztliche Beurteilung von Dr. D.___ vom 16. August 2022 (Urk. 10) ein. Mit Replik vom 1. September 2022 (Urk.</w:t>
      </w:r>
    </w:p>
    <w:p>
      <w:r>
        <w:t>1</w:t>
      </w:r>
    </w:p>
    <w:p>
      <w:r>
        <w:rPr>
          <w:b/>
        </w:rPr>
        <w:t>E. 4</w:t>
      </w:r>
    </w:p>
    <w:p>
      <w:r>
        <w:t>) hielt die Beschwerdeführer in an ihre m Beschwerdea ntrag fest (S. 2). Duplicando hielt die Beschwerdegegnerin am 13 . September 2022 (Urk.</w:t>
      </w:r>
    </w:p>
    <w:p>
      <w:r>
        <w:t>1</w:t>
      </w:r>
    </w:p>
    <w:p>
      <w:r>
        <w:rPr>
          <w:b/>
        </w:rPr>
        <w:t>E. 7</w:t>
      </w:r>
    </w:p>
    <w:p>
      <w:r>
        <w:t>) an ihrem Antrag auf Abweisung der Beschwerde fest , was der Beschwerdeführer in mit Verfügung vom 15. September 2022 (Urk. 18 ) zur Kenntnis gebracht wurde. Das Gericht zieht in Erwägung: 1 .</w:t>
      </w:r>
    </w:p>
    <w:p>
      <w:r>
        <w:t>1 .1</w:t>
      </w:r>
    </w:p>
    <w:p>
      <w:r>
        <w:t>Nach Art . 10 Abs. 1 des Bundesgesetzes über die Unfallversicherung (UVG) hat die versicherte Person Anspruch auf die z weckmässige Behandlung ihrer Un fall folgen. Den gesetzlich umschriebenen Anspruch auf Heilbehandlung hat die ver sicherte Person so lange, als von der Fortsetzung der ärztlichen Behandlung eine namhafte Verbesserung ihres Gesundheitszustandes erwartet werden kann und allfällige Eingliederungsmassnahmen der Invalidenve rsicherung (IV) noch nicht abge schlo ssen sind (Art. 19 Abs. 1 UVG e contrario).</w:t>
      </w:r>
    </w:p>
    <w:p>
      <w:r>
        <w:t>Ist sie infolge des Unfalls voll oder teilweise arbeitsunfähig, so steht ihr gemäss Art. 16 Abs. 1 UVG ein Taggeld zu. Wird sie infolge des Unfalls zu mindestens 10 Prozent invalid, so hat sie Anspruch auf eine Invalidenrente (Art. 18 Abs. 1 UVG). 1 .2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Bedingungen die körperliche oder geistige Integrität der versicherten Person beeinträchtigt hat, der Unfall mit andern Worten nicht weg gedacht werden kann, ohn 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 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8C_698/2021 vom 3. August 2022 E. 3.4 ). 1 . 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w:t>
      </w:r>
    </w:p>
    <w:p>
      <w:r>
        <w:t>2018 E. 3.2.3 mit Hinweisen). 1 . 5</w:t>
      </w:r>
    </w:p>
    <w:p>
      <w:r>
        <w:t>Der Unfallversicherer hat die Möglichkeit, die durch Ausrichtung von Heil be 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leistungsbe gründendem Gesundheitsschaden habe gar nie bestanden oder sei dahingefallen (Urteil des Bundesgerichts 8C_31 9/2020 vom 3. September 2020 E. 6.4). Eine solche Einstel lung kann auch rückwirkend erfolgen, sofern der Unfallversicherer keine Leis tungen zurückfordern will (Urteil des Bun desgerichts 8C_133/2021 vom 25. August 2021 E.</w:t>
      </w:r>
    </w:p>
    <w:p>
      <w:r>
        <w:t>5.2.1 mit Hinweisen). 1 . 6</w:t>
      </w:r>
    </w:p>
    <w:p>
      <w:r>
        <w:t>Nach der Rechtsprechung kommt auch den Berichten und Gutachten versiche rungsinterner Ärztinnen und Ärzte Beweiswert zu ,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 . 2 .1</w:t>
      </w:r>
    </w:p>
    <w:p>
      <w:r>
        <w:t>Die Beschwerdegegnerin stützte ihren Entscheid (Urk. 2) auf die kreisä rztlichen Beurteilungen von Dr. B.___ vom 12. August 2021 und Dr. D.___ vom</w:t>
      </w:r>
    </w:p>
    <w:p>
      <w:r>
        <w:rPr>
          <w:b/>
        </w:rPr>
        <w:t>E. 9</w:t>
      </w:r>
    </w:p>
    <w:p>
      <w:r>
        <w:t>. März 2021 neu verfüge. 2.</w:t>
      </w:r>
    </w:p>
    <w:p>
      <w:r>
        <w:t>Das Verfahren ist kostenlos. 3.</w:t>
      </w:r>
    </w:p>
    <w:p>
      <w:r>
        <w:t>Die Beschwerdegegnerin wird verpflichtet, der Beschwerdeführer in eine Prozessent - schädigung von Fr. 1'7 00.-- (inklusive Barauslagen und Mehrwertsteuer) zu bezahlen. 4 .</w:t>
      </w:r>
    </w:p>
    <w:p>
      <w:r>
        <w:t>Zustellung gegen Empfangsschein an: - Rechtsanwalt Ivo Baumann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