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UV.2022.00094 vom 1. September 2022</w:t>
      </w:r>
    </w:p>
    <w:p>
      <w:r>
        <w:t>ZH Sozialversicherungsgericht, 2022-09-01, DE</w:t>
      </w:r>
    </w:p>
    <w:p>
      <w:r>
        <w:rPr>
          <w:b/>
        </w:rPr>
        <w:t xml:space="preserve">Quelle: </w:t>
      </w:r>
      <w:r>
        <w:t>https://mcp.opencaselaw.ch/entscheid/zh_sozialversicherungsgericht_UV.2022.00094</w:t>
      </w:r>
    </w:p>
    <w:p>
      <w:r>
        <w:t>FR: ZH_SOZIALVERSICHERUNGSGERICHT UV.2022.00094 du 1 septembre 2022</w:t>
      </w:r>
    </w:p>
    <w:p>
      <w:r>
        <w:t>IT: ZH_SOZIALVERSICHERUNGSGERICHT UV.2022.00094 del 1 settembre 2022</w:t>
      </w:r>
    </w:p>
    <w:p>
      <w:pPr>
        <w:pStyle w:val="Heading2"/>
      </w:pPr>
      <w:r>
        <w:t>Regeste</w:t>
      </w:r>
    </w:p>
    <w:p>
      <w:r>
        <w:t>Bauarbeiter erleidet Knieverletzung und kann angestammte Tätigkeit nicht mehr ausüben. Kein rentenbegründender Invaliditätsgrad; Abzug vom Tabellenlohn von 5 % ist nicht zu beanstanden.</w:t>
      </w:r>
    </w:p>
    <w:p>
      <w:pPr>
        <w:pStyle w:val="Heading2"/>
      </w:pPr>
      <w:r>
        <w:t>Erwägungen</w:t>
      </w:r>
    </w:p>
    <w:p>
      <w:r>
        <w:rPr>
          <w:b/>
        </w:rPr>
        <w:t>E. 1</w:t>
      </w:r>
    </w:p>
    <w:p>
      <w:r>
        <w:t>Der 1975 geborene X.___ war als Bauarbeiter bei der Y.___ AG vom 4. Februar bis 31. Dezember 2020 angestellt und dadurch bei der Suva obligatorisch gegen die Folgen von Unfällen versichert. Am 2. Juni 2020 meldete die Arbeitgeberin, der Versicherte sei am 30. Mai 2020 in Z.___ auf der Baustelle beim Schi eben einer Schubkarre gestrauchelt und ausgerutscht. Dabei habe er sich eine Zerrung des rechten Oberschenkels zugezogen. Er sei in de r A.___ AG erstb ehandelt wor den (Urk. 7/1). Im «Arztzeugnis UVG» der A.___ über die Behandlung vom 31. Mai 2020 wurde festgehalten, der Versicherte habe am Vortag nach einer Drehbewegung eine abrupte Schwäche im rechten Knie erlitten und sei a uf das rechte Knie gestürzt . Im Verlauf sei es zu einer Schwellung gekommen, das Knie sei zunehmend dolent . Es liege eine Kontusion vor. Im Röntgenbild sei keine Fraktur erkennbar gewesen. Ob eine Bandverletzung vorliege, sei unklar. Auf grund der externen Diagnostik bestehe ein subtotaler Abriss der Quadrizepssehne rechts (Urk. 7/7). Am 10. Juni 2020 wurde bei einer kompletten distalen Quadri ze p ssehenruptur rechts eine Refixation durchgeführt (Urk. 7/15 f.). Die Suva er brachte die gesetzlichen Versicherungsleistungen (vgl. Urk. 7/30). Nach einer vollständigen Arbeitsunfähigkeit wurde dem Versicherten m it Zeugnis vom 23. November 2020 vom behandelnde n Arzt ab dem 5. Januar 2020 (recte: 2021) wieder eine 50%ige Arbeitsfähigkeit attestiert (Urk. 7/51). Am 30. Dezember 2020 teilte der sich in B.___ aufhaltende Versicherte telefo nisch mit, er habe mit der Y.___ AG einen neuen Vertrag, gültig ab dem 18. Januar 2021, unterzeichnet. Es gehe ihm langsam besser. Ab dem 5. Januar 2021 sei er wieder zu 50 % arbeitsfähig (Urk. 7/58 ; vgl. auch Urk. 7/62 ). Nach kurzfristiger vollzeitlicher Aufnahme der bisherigen Tätigkeit (ab März 2021 war er wieder voll arbeitsfähig), berichtete der Versicherte über zunehmende Schmer zen im re chten Knie, woraufhin ihm ab dem 11. März 2021 erneut eine 50%ige Arbeitsunfähigkeit attestiert wurde (Urk. 7/74/2 und Urk. 7/77). Am 28. Juni 2021 fand eine kreisärztliche Untersuchung des Versicherten statt (Urk. 7/105), aufgrund deren Ergebnis die Suva m it Schreiben vom 8. Juli 2021 mitteilte , dass die Heilbehandlungskosten sowie die Taggelder per 31. August 2021 eingestellt würden. Über allfällige weitere Versicherungsleistungen ab dem 1. September 2021 werde zu einem späteren Zeitpunkt informiert (Urk. 7/112/1-2). Mit Verfügung vom 28. Dezember 2021 wurden sowohl ein Anspruch auf eine Invalidenrente bei einem Invaliditätsgrad von 4.33 % als auch ein Anspruch auf eine Integritätsentschädigung verneint (Urk. 8/132). Die dagegen erhobene Ein sprache vom 1. Februar 2022 (Urk. 8/135) wies die Suva mit Entscheid vom 31. März 2022 ab (Urk. 2 [= Urk. 8/139]).</w:t>
      </w:r>
    </w:p>
    <w:p>
      <w:r>
        <w:rPr>
          <w:b/>
        </w:rPr>
        <w:t>E. 1.1</w:t>
      </w:r>
    </w:p>
    <w:p>
      <w:r>
        <w:t>Am 1. Januar 2017 sind die geänderten Bestimmungen des Bundesgesetzes über die Unfallversicherung (UVG) und der Verordnung über die Unfallversicherung (UVV) in Kraft getreten. Da sich der hi er zu beurteilende Unfall am 30. Mai 2020 ereignet hat, finden diese geänderten Bestimmungen auf den vorliegenden Fall Anwendung.</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 werbsunfähigkeit (Art. 8 Abs. 1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 zielen könnte, wenn sie nicht invalid geworde n wäre (sog. Valideneinkommen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Dagegen erhob der Versicherte mit Eingabe vom 17. Mai 2022 Beschwerde und beantragte, der angefochtene Entscheid sei aufzuheben, und es seien ihm die ge setzlichen Versicherungsleistungen (Invalidenrente) zuzusprechen (Urk. 1). Mit Beschwerdeantwort vom 24. Juni 2022 schloss die Beschwerdegegnerin auf Ab weisung der Beschwerde (Urk. 6), was dem Beschwerdeführer mit Verfügung vom 28. Juni 2022 angezeigt wurde (Urk. 8). Das Gericht zieht in Erwägung: 1.</w:t>
      </w:r>
    </w:p>
    <w:p>
      <w:r>
        <w:rPr>
          <w:b/>
        </w:rPr>
        <w:t>E. 2.1</w:t>
      </w:r>
    </w:p>
    <w:p>
      <w:r>
        <w:t>Die Beschwerdegegnerin erwog im angefochtenen Entscheid, die Höhe des von ihr ermittelten Valideneinkommens von Fr. 68'513.-- sei unangefochten geblie ben. Das Invalideneinkommen sei auf Fr. 65'343.60 festzulegen, womit ein Inva liditätsgrad von gerundet 5 % erreicht werde (Urk. 2).</w:t>
      </w:r>
    </w:p>
    <w:p>
      <w:r>
        <w:rPr>
          <w:b/>
        </w:rPr>
        <w:t>E. 2.2</w:t>
      </w:r>
    </w:p>
    <w:p>
      <w:r>
        <w:t>Demgegenüber brachte der Beschwerdeführer vor, es bestünden auch in einer an gepassten Tätigkeit erhebliche qualitative Einschränkungen der Arbeitsfähigkeit. Somit erweise sich ein Leidensabzug von 15 bis 20 % als angemessen (Urk. 1).</w:t>
      </w:r>
    </w:p>
    <w:p>
      <w:r>
        <w:rPr>
          <w:b/>
        </w:rPr>
        <w:t>E. 3</w:t>
      </w:r>
    </w:p>
    <w:p>
      <w:r>
        <w:t>Im Bericht vom 30. Juni 2021 über die kreisärztliche Unters uchung vom 28. Juni 2021 führte Dr. med. C.___ , Fachärztin FMH für Chirurgie, unter dem Titel «Diagnosen» belastungsabhängige Restbeschwerden bei Status nach distaler Quadrizepssehnennaht , Juni 2020, auf. Des Weiteren hielt sie fest , die Beschwer den würden authentisch geschildert. Klinisch zeige sich ein reizfreies rechtes Kniegelenk ohne Anhalt für Erguss. Es liege eine leichte Bewegungseinschrän kung im Seitenvergleich vor. Bei den durchgeführten Gang- und Standproben seien eine seitengleiche gute Stabilität und Propriozeption vorhanden. Insgesamt liege ein sehr gutes postoperatives rehabilitiertes Ergebnis nach distaler Quadri zepssehnenruptur /-naht vor. Der Endzustand sei erreicht. Die Tätigkeit als Bau arbeiter, welche als schwere körperlich belastende Tätigkeit eingeschätzt werde, sei aufgrund der Restbeschwerden bloss eingeschränkt zumutbar. In Zusammen schau der bildgebenden Diagnostik und der klinischen Untersuchung werde eine bleibende Einschränkung für die bisherige Tätigkeit bestehen bleiben. In einer optimal angepassten, leicht en bis mittelschweren, wechselbelastenden Tätigkeit, ohne Zwangshaltung für das rechte Kniegelenk, nur manchmal kniende kauernde Tätigkeiten, ohne regelmässiges repetitives Besteigen von Leiter und Gerüst, Ge hen auf unebener Unterlage, Bedienen von vibrierenden Maschinen mit rechts, liege eine volle Arbeitsfähigkeit vor (Urk. 7/105/4 f.).</w:t>
      </w:r>
    </w:p>
    <w:p>
      <w:r>
        <w:rPr>
          <w:b/>
        </w:rPr>
        <w:t>E. 4.1</w:t>
      </w:r>
    </w:p>
    <w:p>
      <w:r>
        <w:t>Die kreisärztliche Beurteilung erscheint schlüssig und nachvollziehbar begründet sowie in sich widerspruchsfrei. Es bestehen keine Indizien gegen ihre Zuver lässigkeit, womit sie beweiskräftig ist, was auch vom Beschwerdeführer nicht in Frage gestellt wurde . Demgemäss ist auf die kreisärztliche Beurteilung , ein schliesslich der Einschätzung der Arbeitsfähigkeit und des Belastungsprofils, ab zustellen .</w:t>
      </w:r>
    </w:p>
    <w:p>
      <w:r>
        <w:rPr>
          <w:b/>
        </w:rPr>
        <w:t>E. 4.2</w:t>
      </w:r>
    </w:p>
    <w:p>
      <w:r>
        <w:t>Strittig geblieben ist die Höhe des Invaliditätsgrades, weshalb ein Einkommens vergleich vorzunehmen ist.</w:t>
      </w:r>
    </w:p>
    <w:p>
      <w:r>
        <w:rPr>
          <w:b/>
        </w:rPr>
        <w:t>E. 4.2.1</w:t>
      </w:r>
    </w:p>
    <w:p>
      <w:r>
        <w:t>Di e Beschwerdegegnerin ermittelte, ausgehend v on einem Stundenlohn von Fr. 29. 95, einer Gratifikation von 8.33 % (Urk. 7/1 und Urk. 7/63/5 f. ) sowie von grosszügig errechneten 2112 Jahresarbeitsstunden , ein Valideneinkommen von Fr. 68'513. -- (Urk. 7/ 132/2) , wogegen keine Einwände erhoben wurden .</w:t>
      </w:r>
    </w:p>
    <w:p>
      <w:r>
        <w:rPr>
          <w:b/>
        </w:rPr>
        <w:t>E. 4.2.2</w:t>
      </w:r>
    </w:p>
    <w:p>
      <w:r>
        <w:t>Während die Beschwerdegegnerin bei der Ermittlung des Invalideneinkommens einen leidensbedingten Abzug von 5 % gewährte, beantragte der Beschwerdefüh rer aufgrund der kreisärztlichen Zumutbarkeitsbeurteilung die Vornahme eines Abzuges von 15-20 %. Dass sich die Beschwerdegegnerin z ur Bemessung des Invalideneinkommens auf die statistische n Werte der Schweizerischen Lohnstrukturerhebung (LSE) 2018 stützte und den Lohn gemäss der Tabelle TA1_tirage_skill_level, pr ivater Sektor, Kompetenzniveau 1 , Männer, von monatlich Fr. 5'417. -- heran zog, ist nicht zu beanstanden; dem Beschwerdeführer ist die bisherige Tätigkeit nicht mehr zu mutbar und er verfügt über keine in einer angepassten Tätigkeit verwertbare Aus bildung . Dieses monatliche Einkommen ist unter Berücksichtigung der durch schnittlichen Arbeitszeit von 41,7 Stunden pro Woche (vgl. Bundesamt für Sta tistik, Betriebsübliche Arbeitszeit nach Wirtschaftsabteilungen [NOGA 2008], in Stunden pro Woche, 2004-2021 , TOTAL) und unter Berück sichtigung der Nomi nallohnentwicklung bei Männern bis ins Jahr 2021 (Index stand 2260 [2018] auf 2281 [2021 ]; vgl. Bundesamt für Statistik, Schweizerischer Lohnindex, Landesin dex der Konsumentenpreise, T 39, Entwicklung der Nominallöhne, der Konsu - m entenpreise und der Reallöhne, 2 010-2021 , Nominal löhne, Männer) auf ein Jah reseinkommen für eine 100%ige Tätigkeit hochzurechnen, was Fr. 68’ 396 .-- ergibt (Fr. 5‘417.- - x 12 : 40 x 41,7 : 2260 x 2281 ). Mit dem Abzug vom Tabellenlohn soll nach BGE 126 V 75 der Tatsache Rechnung getragen werden, dass persönliche und berufliche Merkmale, wie Art und Aus mass der Behinderung, Lebensalter, Dienstjahre, Nationalität oder Aufenthalts ka tegorie und Beschäftigungsgrad , Auswirkungen auf die Lohnhöhe haben können und je nach Ausprägung die versicherte Person deswegen die verbliebene Ar beitsfähigkeit auch auf einem ausgeglichenen Arbeitsmarkt nur mit unter durch schnittlichem erwerblichem Erfolg verwerten kann. Der Abzug soll aber nicht automatisch erfolgen. Er ist unter Würdigung der Umstände im Einzelfall nach pflichtgemässem Ermessen gesamthaft zu schätzen und darf 25 % nicht überstei gen. Die Rechtsprechung gewährt insbesondere dann einen Abzug auf dem Inva lideneinkommen, wenn eine versicherte Person selbst im Rahmen körperlich leichter Hilfsarbeitertätigkeit in ihrer Leistungsfähigkeit eingeschränkt ist. Allfällige bereits in der Beurteilung der medizinischen Arbeitsfähigkeit ent haltene gesundheitliche Einschränkungen dürfen nicht zusätzlich in die Bemessung des leidensbedingten Abzugs einfliessen und so zu einer doppelten Anrechnung des selben Gesichtspunkts führen (Urteil des Bundesgerichts 8C_58/2021 vom 30. Juni 2021 E. 4.2.1 mit weiteren Hinweisen) . Das medizinische Anforderungs- und Belastungsprofil stellt eine zum zeitlich zu mutbaren Arbeitspensum hinzutretende qualitative oder quantitative Ein schrän kung der Arbeitsfähigkeit dar. Dadurch wird in erster Linie das Spektrum der erwerblichen Tätigkeiten (weiter) eingegrenzt, welche unter Berücksichtigung der Fähigkeiten, der Ausbildung und Berufserfahrung der versicherten Person rea listischerweise noch in Frage kommen. Davon zu unterscheiden ist die Frage, ob mit Bezug auf eine konkret in Betracht fallende Tätigkeit bei ausgeglichener Ar beitsmarktlage (Art. 16 ATSG) verglichen mit einem gesunden Mitbewerber nur bei Inkaufnahme einer Lohneinbusse reale Chancen für eine Anstellung bestehen. Lediglich wenn – auch auf einem ausgeglichenen Arbeitsmarkt – unter Berück sichtigung solcher Einschränkungen, die personen- oder arbeitsplatzbezogen sein können, kein genügend breites Spektrum an zumutbaren Verweisungstätigkeiten mehr besteht, rechtfertigt sich allenfalls ein (zusätzlicher) Abzug vom Tabellen lohn (Urteil des Bundesgerichts 8C_48/2021 vom 20. Mai 2021 E. 4.3.3). Zu beachten ist dabei, dass der massgebende ausgeglichene Arbeitsmarkt auch sogenannte Nischenarbeitsplätze umfasst, also Stellen- und Arbeitsangebote, bei welchen Behinderte mit einem sozialen Entgegenkommen seitens des Arbeit ge bers rechnen können (Urteil des Bundesgerichts 9C_134/2016 vom 12. April 2016 E. 5.3). Angesichts des in Frage stehenden Belastungsprofils , welches – entgegen des Vorbringens des Beschwerdeführers (Urk. 1 S. 4) – in einer optimal angepassten Tätigkeit kaum zu Einschränkungen führt (vgl. E. 3), erscheint der von der Be schwerdegegnerin vorgenommene Abzug von 5 % grosszügig und keineswegs un angemessen . Es ist darauf hinzuweisen, dass der Tabellenlohn auf dem hier zugrunde gele gten Kompetenzniveau 1 bereits eine Vielzahl von körperlich leich ten Tätigkeiten umfasst (vgl. statt vie ler: Urteile des Bundesgerichts 9C_447/2019 vom 8. Oktober 2019 E. 4.3.2 und 8C_219/2019 vom 30. September 2019 E. 5.2, je mit Hinweisen). Bei einem Abzug von 5 % vom Tabellenlohn beträgt das In valideneinkommen damit Fr. 64’976. -- ( Fr. 68’396.-- x 0.95).</w:t>
      </w:r>
    </w:p>
    <w:p>
      <w:r>
        <w:rPr>
          <w:b/>
        </w:rPr>
        <w:t>E. 4.3</w:t>
      </w:r>
    </w:p>
    <w:p>
      <w:r>
        <w:t>Die aus dem Einkommensvergleich resultierende Erwer bseinbusse beträgt dem nach Fr. 3 ’537 .-- ( Valideneinkommen von Fr. 68'513.-- abzüglich Invalidenein kommen von Fr. 64’976. -- ), was einem Invaliditätsgrad von gerundet</w:t>
      </w:r>
    </w:p>
    <w:p>
      <w:r>
        <w:rPr>
          <w:b/>
        </w:rPr>
        <w:t>E. 5</w:t>
      </w:r>
    </w:p>
    <w:p>
      <w:r>
        <w:t>Nach dem Gesagten erweist sich die Beschwerde als unbegründet, weshalb sie abzuweisen ist. Das Gericht erkennt: 1. Die Beschwerde wird abgewiesen. 2. Das Verfahren ist kostenlos. 3. Zustellung gegen Empfangsschein an: - Rechtsanwalt Dominique Chopard - Suva - Bundesamt für Gesundheit 4. 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