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UV.2022.00078 vom 9. September 2022</w:t>
      </w:r>
    </w:p>
    <w:p>
      <w:r>
        <w:t>ZH Sozialversicherungsgericht, 2022-09-09, DE</w:t>
      </w:r>
    </w:p>
    <w:p>
      <w:r>
        <w:rPr>
          <w:b/>
        </w:rPr>
        <w:t xml:space="preserve">Quelle: </w:t>
      </w:r>
      <w:r>
        <w:t>https://mcp.opencaselaw.ch/entscheid/zh_sozialversicherungsgericht_UV.2022.00078</w:t>
      </w:r>
    </w:p>
    <w:p>
      <w:r>
        <w:t>FR: ZH_SOZIALVERSICHERUNGSGERICHT UV.2022.00078 du 9 septembre 2022</w:t>
      </w:r>
    </w:p>
    <w:p>
      <w:r>
        <w:t>IT: ZH_SOZIALVERSICHERUNGSGERICHT UV.2022.00078 del 9 settembre 2022</w:t>
      </w:r>
    </w:p>
    <w:p>
      <w:pPr>
        <w:pStyle w:val="Heading2"/>
      </w:pPr>
      <w:r>
        <w:t>Erwägungen</w:t>
      </w:r>
    </w:p>
    <w:p>
      <w:r>
        <w:rPr>
          <w:b/>
        </w:rPr>
        <w:t>E. 1</w:t>
      </w:r>
    </w:p>
    <w:p>
      <w:r>
        <w:t>X.___ , geboren 1985, war seit dem 2. November 2020 als Maler tätig für die Y.___ AG und in dieser Eigenschaft bei der Suva gegen Berufs- und Nichtberufsunfälle versichert. Am 6. Januar 2021 wurde der Suva angezeigt, dass der Versicherte am 1 8. Dezember 2020 beim Anheben einer Eingangstüre einen Zwack in der rechten Hand verspürt habe ( Urk. 9/1). Die Erstbehandlung fand am 2 4. Dezember 202 0 in der Z.___ statt ( Urk. 9/10). Am 7. Januar 2021 diagnostizierte Dr. med.</w:t>
      </w:r>
    </w:p>
    <w:p>
      <w:r>
        <w:t>A.___ , Fachärztin für Handchirurgie, eine scapholunäre Bandruptur Handgelenk rechts ( Urk. 9/9), welche am 1 2. Januar 2021 operativ saniert wurde ( Urk. 9/11). Die Suva trat auf den Schaden ein und erbrachte die gesetzlichen Leistungen ( Urk. 9/14) . Die Suva tätigte erwerbliche und medizinische Abklärungen und holte die Stellungnahme des Kreisarztes Dr. med. B.___ , Facharzt für Orthopädie und Trauma tologie des Bewegungsapparates, vom 7. Juli 2021 ein ( Urk. 9/44). Mit Schreiben vom 9. Juli 2021 wurde dem Versicherten mitgeteilt, dass der Fall per 2 5. Juli 2021 abgeschlossen werde und die Versicherungsleistungen eingestellt würden ( Urk. 9/47). Nachdem Dr. A.___ hierzu Stellung genommen hatte ( Urk. 9/50) , tätigte die Suva weitere Abklärungen und holte eine weitere Stellungnahme von Dr. B.___ vom 2 7. Juli 2021 ein ( Urk. 9/54). Mit Verfü gung vom 1 1. August 2021 hielt die Suva am Fallabschluss per 2 5. Juli 2021 und der gleichzeitigen Leistungseinstellung fest ( Urk. 9/63). Die hiergegen erhobene Einsprache vom 6. September 2021 ( Urk. 9/68, ergänzende Einsprachebegrün dung vom 2 0. Oktober 2021, Urk. 9/76) wies die Suva nach weiteren Abklärungen und insbesondere der Einholung einer B eurteilung durch Kreisärztin</w:t>
      </w:r>
    </w:p>
    <w:p>
      <w:r>
        <w:t>Dr. med. C.___ , Fach ä r z t in für Orthopädische Chirurgie und Tra u matologie des Bewegungsapparates, Handchirurgie, vom 1 6. März 2022 ( Urk. 9/88) mit Ein spracheentscheid vom 1 7. März 2022 ab ( Urk. 9/89).</w:t>
      </w:r>
    </w:p>
    <w:p>
      <w:r>
        <w:rPr>
          <w:b/>
        </w:rPr>
        <w:t>E. 2</w:t>
      </w:r>
    </w:p>
    <w:p>
      <w:r>
        <w:t>Hiergegen liess der Versicherte am 2. Mai 2022 Besch werde erheben und beantragte, die Beschwerdegegnerin sei in Aufhebung des Einspracheentscheids zu verpflichten, dem Beschwerdeführer die gesetzlichen Leistungen für den Unfall vom 1 8. Dezember 2020 über den 2 5. Juli 2021 zuzusprechen und auszurichten. In prozessualer Hinsicht ersuchte er um Bewilligung der unentgeltlichen Prozessführung und Bestellung von Rechtsanwalt Dr. iur . André Largier als unentgelt lichen Rechtsvertreter ( Urk. 1). Mit Beschwerdeantwort vom 3. Juni 2022 beantragte die Beschwerdegegnerin die teilweise Gutheissung der Beschwerde in dem Sinne, dass die Sache zu weiteren Abklärungen und neuer Entscheidung über die Leistungspflicht an sie zurückzuweisen sei ( Urk. 8 unter Beilage ihrer Akten, Urk. 9/1-98). Mit Eingabe vom 2 0. Juni 2022 teilte der Beschwerdeführer mit, dass er mit einer Rückweisung nicht einverstanden sei ( Urk. 13), worüber die Beschwerdegegnerin am 5. September 2022 in Kenntnis gesetzt wurde ( Urk. 16).</w:t>
      </w:r>
    </w:p>
    <w:p>
      <w:r>
        <w:rPr>
          <w:b/>
        </w:rPr>
        <w:t>E. 2.1</w:t>
      </w:r>
    </w:p>
    <w:p>
      <w:r>
        <w:t>Gemäss Art. 6 Abs. 1 des Bundesgesetzes über die Unfallversicherung (UVG) werden – soweit das Gesetz nichts anderes bestimmt – die Versicherungsleistun gen bei Berufsunfällen, Nichtberufsunfällen und Berufskrankheiten gewährt.</w:t>
      </w:r>
    </w:p>
    <w:p>
      <w:r>
        <w:rPr>
          <w:b/>
        </w:rPr>
        <w:t>E. 2.2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w:t>
      </w:r>
    </w:p>
    <w:p>
      <w:r>
        <w:t>) – an die Beweiswürdigung strenge Anforderungen zu stellen sind, wenn ein Versicherungsfall ohne Einholung eines externen Gutach tens zu entscheiden ist und nur schon bei geringen Zweifeln an der Zuverlässig keit und Schlüssigkeit der versicherungsinternen ärztlichen Feststellun gen ergänzende Abklärung en vorzunehmen sind und die Ausführungen von Dr. A.___ ebenfalls keine abschliessende Beurteilung erlauben (E. 4.2), erweist sich der rechtserhebliche medizinische Sachverhalt nicht als rechtsgenügend abgeklärt.</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 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mit Hinweisen; Urteil des Bundesgerichts 9C_354/2020 vom 8. Septem ber 2020 E. 2.1) .</w:t>
      </w:r>
    </w:p>
    <w:p>
      <w:r>
        <w:rPr>
          <w:b/>
        </w:rPr>
        <w:t>E. 3</w:t>
      </w:r>
    </w:p>
    <w:p>
      <w:r>
        <w:t>Auf die Vorbringen der Parteien und die eingereichten Unterlagen wird, soweit erforderlich, im Rahmen der nachfolgenden Erwägungen eingegangen. Das Gericht zieht in Erwägung: 1.</w:t>
      </w:r>
    </w:p>
    <w:p>
      <w:r>
        <w:t>Der Beschwerdeführer brachte vor, dass die initiale Leistungspflicht unbestritten sei. Strittig sei, ob die im Januar 2021 festgestellte und operierte B andruptur vorbestehend oder durch den Unfall entstanden sei. Die Beschwerdegegnerin stütz e sich darauf, dass Dr. C.___</w:t>
      </w:r>
    </w:p>
    <w:p>
      <w:r>
        <w:t>die Ruptur zwar als unfallbedingt</w:t>
      </w:r>
    </w:p>
    <w:p>
      <w:r>
        <w:t>beur teile , wobei sich diese vor dem 1 8. Dezember 2020 ereignet haben müsse . An der Beurteilung von Dr. C.___</w:t>
      </w:r>
    </w:p>
    <w:p>
      <w:r>
        <w:t>vom 1 6. März 2022 bestünd en zumindest erhebliche Zweifel. Die Beschwerdegegnerin habe dem Beschwerdeführer keine Möglichkeit gegeben , vor Erlass des Einspracheentscheid s hierzu Stellung zu nehmen. Des Weiteren sei der Sachverhalt nicht richtig dargestellt worden und die Beurteilung beruhe nicht auf der herrschenden medizinischen Lehrmeinung. Eine zeitliche Eingrenzung, wann die Ruptur entstanden sein solle, fehle ebenso. Es sei auch fraglich, ob der Beschwerdeführer in der Lage gewesen wäre, 80-90 kg schwere Türen mit einem vollständig gerissenen SL-Band reihenweise aus den Angeln zu hieven und herumzutragen. Es bleibe auch unklar, welche klinische Erfahrung Dr. C.___ habe und wie lange sie schon für die Suva arbeite - ob sie damit als Unfallspezialistin anzusehen sei, sei fraglich. Es bestehe damit kein Anlass, die von Dr. A.___ überzeugend begründete Kausalität in Zweifel zu ziehen, womit die Beschwerdegegnerin auch über den 2 5. Juli 2020 hinaus leistungspflichtig sei ( Urk. 1).</w:t>
      </w:r>
    </w:p>
    <w:p>
      <w:r>
        <w:t>Die Suva führte in der Beschwerdeantwort aus ( Urk. 8), dass sie die Leistungspflicht über den 2 5. Juli 2020 hinaus gestützt auf die Beurteilung von Dr. C.___ abgelehnt habe. Mit der Beschwerde werde eine weitere Beurteilung von Dr. A.___ vom 1 9. April 2022 eingereicht, welche zusammen mit der eingereichten Fachliteratur geringe Zweifel an der Beurteilung von Dr. C.___ weckten. Aus diesem Grund sei die Sache zu weiteren Abklärungen zurück zuweisen ( Urk. 8).</w:t>
      </w:r>
    </w:p>
    <w:p>
      <w:r>
        <w:t>Mit Schreiben vom 2 0. Juni 2022 erklärte der Beschwerdeführer, dass er mit der beantragten Rückweisung nicht einverstanden sei, da keine Gewähr bestehe, dass die Beschwerdegegnerin das Verfahren rechtskonform führen werde. Zum anderen sei die Leistungspflicht durch die Stellungnahmen von Dr. A.___ erstellt. Sollten weitere Abklärungen notwendig sein, hätten diese durch das Gericht zu erfolgen ( Urk. 13). 2.</w:t>
      </w:r>
    </w:p>
    <w:p>
      <w:r>
        <w:rPr>
          <w:b/>
        </w:rPr>
        <w:t>E. 3.1</w:t>
      </w:r>
    </w:p>
    <w:p>
      <w:r>
        <w:t>Die Suva stützte sich im Einspracheentscheid auf die Beurteilung von Dr. C.___ vom 1 6. März 2022 ( Urk. 9/88), gemäss w e lcher sich nach Einsichtnahme in das Röntgenbild vom 2 4. Dezember 2020 am rechten Handgelenk in zwei Ebenen be reits zu diesem Zeitpunkt Zeichen einer skapholunären Dissoziation (der gegenläufigen Bewegung des Os scaphoideum und Os lunatum mit Auseinander weichen auf dem Boden einer SL-Bandruptur)</w:t>
      </w:r>
    </w:p>
    <w:p>
      <w:r>
        <w:t>zeig ten , die überwiegend wahrscheinlich nicht Folge eines Ereignisses eine Woche zuvor seien . Es sei bereits durch die Flexion des Os scaphoideum ein Projektionsphänomen sichtbar: D as Siegelringzeichen, welches infolge der veränderten Lage und vermehrte r bildgebende r Summation von kortikalen S trukturen des Scaphoids entstehe . Dabei sei der vermehrte Abstand zwischen beiden Handwurzelkno chen erkenn bar.</w:t>
      </w:r>
    </w:p>
    <w:p>
      <w:r>
        <w:t>I n den Röntgenbilde rn des Beschwerdeführers vom 2 4. Dezember 2020 (eine Woche nach dem Unfallereignis) seien Rotationsfehlstellungen beider Handwur zelknochen mit einem SL-Winkel deutlich grösser als 70° unter Erweiterung des SL-Abstandes sichtbar. Diese Rotation sei nach einem vollständigen SL- Bandriss nicht unmittelbar , aber innerhalb einer Folgezeit von mehreren Monaten sichtbar. Somit sei es anhand der Röntgenbilder des rechten Handgelenkes vom 2 4. Dezember 2020 überwiegend nicht wahrscheinlich, dass die Zeichen einer DISI-Fehlstellung und damit einer midcarpalen Instabilität di e Folge des Unfallereignisses eine Woche zuvor seien .</w:t>
      </w:r>
    </w:p>
    <w:p>
      <w:r>
        <w:t>In der weiteren Bildgebung, einem Magnetresonanztomogramm mit intr aartiku lärem Kontrast vom 5. Januar 2021 , veranlasst von Dr. A.___ , kö nn e gemäss fachradiologischer Beurteilung und eigener Einsichtnahme einerseits in der Arthrografie ein kompletter Kontrastmitteldurchtritt nach midcarpaler Injek tion zwischen Os lunatum und Os scaphoideum als indirektes Zeichen für eine vollständige SL-Bandruptur sowie eine deutliche Diastase ebendort von ca. 5-7 mm objektiviert werden. Bands tümpfe oder auch Bandreste seien i n den magnetresonanztomographisc hen Bildern nicht abgrenzbar. Die nicht objekti vierbaren SL-Bandreste und auch die Grö sse der Diastase zwischen Os lunatum und Os scaphoideum mach t en eine kurzfri stige Ruptur des SL-Bandes (2.5 Wochen in Bezug auf das Unfallereignis vom 18.12.2020) nicht überwiegend wahrscheinlich.</w:t>
      </w:r>
    </w:p>
    <w:p>
      <w:r>
        <w:t>Zusammenfassend seien d ie anlässlich de r Röntgenuntersuchung vom 2 4. Dezember 2020 objektivierbaren Zeichen einer midcarpalen Instabilität als Folge eines vollständigen SL-Band-Risses am rechten Handgelenk überwiegend wahrscheinlich nicht Folge des Unfallereignisses vom 1 8. Dezember 202 0. Über wiegend wahrscheinlich seien sie Folge eines Unfallereignisses vor dem 1 8. Dezember 2020, da die Ausbildung der Rotationsinstabilität des Os lunatum und des Os scaphoideum nach vollständiger SL-Band Ruptur überwiegend wahr sch einlich länger in Anspruch nehme als die sechs Tage, die zwischen dem Unfallereignis und der ersten Bildgebung lä gen.</w:t>
      </w:r>
    </w:p>
    <w:p>
      <w:r>
        <w:rPr>
          <w:b/>
        </w:rPr>
        <w:t>E. 3.2</w:t>
      </w:r>
    </w:p>
    <w:p>
      <w:r>
        <w:t>Im Rahmen des Beschwerdeverfahrens reichte der Beschwerdeführer die Stellung nahme von Dr. A.___ vom 1 9. April 2022 ein ( Urk. 3/5). Sie führte aus, dass verschiedenste Punkte nicht aufgehen würden. Es sei nicht richtig, dass eine vollständige, scapholunäre Dissoziation nicht sofort zu einem massiv erweiterten scapholunären Abstand führen k ö nn e und es nicht sofort zu einer Abkippung des Scaphoides nach volar kommen k ö nn e , mit dem von</w:t>
      </w:r>
    </w:p>
    <w:p>
      <w:r>
        <w:t>Dr. C.___ beschriebe nen Siegelringzeichen. Sie ha be sich nur auf eine Arbei t von Lichtmann bezogen. Es gebe verschiedenste Arbeiten von Garcia-Elias, sowie eine ausgesprochen gute, ausführliche Doktorarbeit von Dr. Wiebke Mensing mit dem Titel „ objektiv funktionelles, subjektives und radiologisches Outcome in Abhängigkeit vom Verletzungsalter operativ versorgter Verletzungen des scapholunären Bandes", einer Zusammenfassung mit 17 1. Literaturhinweisen, sowie ein weiteres Paper</w:t>
      </w:r>
    </w:p>
    <w:p>
      <w:r>
        <w:t>von Engelhardt und Krimmer „Dissoziative Instabilität in der proxi malen Hand wurzelreihe", die zei g t en, dass je nach Verletzung sofort eine sta tische Instabilität entstehen kö nn e .</w:t>
      </w:r>
    </w:p>
    <w:p>
      <w:r>
        <w:t>Hinzu komme, dass der Beschwerdeführer keinerl ei Arthrose radiocarpal aufweise . Sie sei</w:t>
      </w:r>
    </w:p>
    <w:p>
      <w:r>
        <w:t>mit Dr. C.___</w:t>
      </w:r>
    </w:p>
    <w:p>
      <w:r>
        <w:t>einverst anden, dass eine radioscaphoidal e Ar throse nach Monaten auftreten kö nn e . Der Beschwerdeführer weise aber keinerlei degenerativen Veränderungen auf, eben wei l dies erst gerade geschehen sei und nicht Monate her sei .</w:t>
      </w:r>
    </w:p>
    <w:p>
      <w:r>
        <w:t>Es mü ss e festgehalten werden, dass man interoperativ sehr gut sehe, ob ein Band noch vorhanden sei, das refixiert werden kö nn e, was beim Beschwerdeführer der Fall gewesen sei. Dies sei nur in den ersten Wochen nach einem Trauma möglich und nicht mehr Monate danach durchführbar. Dies we rd e sowohl in den vorher genannten Arbeiten , wie auch von Garcia-Elias, einer der Cracks der scapholunä ren Handwurzelpathologien weltweit, bestätigt, dass es nur in den ersten Wochen möglich sei, das scapholunäre Band über haupt darzustellen, zu finden und auch refixieren zu können. Es</w:t>
      </w:r>
    </w:p>
    <w:p>
      <w:r>
        <w:t>habe beim Beschwerdeführer durchgeführt werden können , was noch mals dagegen</w:t>
      </w:r>
    </w:p>
    <w:p>
      <w:r>
        <w:t>spr eche , dass es sich um eine ältere Läsion handle . Sobald so e ine Läsion einige Monate alt sei , sei kein Band mehr vorhan den und kö nn e auch nicht mehr refixiert werden. Dies sollte eigentlich als Haupt grund gelten, ohne dass man fadenscheinige A usreden finde. Grundsätzlich mü ss e noch dazu gesagt wer den, dass auch wenn behauptet we rd e , dass es sich um eine ein ige Monate ältere Läsion handle , es sich auch dann um einen Unfall handle und sicherlich nicht um ein degeneratives Geschehen bei diesem jungen Beschwerdeführer ohne weitere Handgelenkspathologie. Dies werde von Dr. C.___ auch nicht beanstandet. Somit sei es Sache der S uva ,</w:t>
      </w:r>
    </w:p>
    <w:p>
      <w:r>
        <w:t>den Fall zu übernehmen.</w:t>
      </w:r>
    </w:p>
    <w:p>
      <w:r>
        <w:rPr>
          <w:b/>
        </w:rPr>
        <w:t>E. 4.1</w:t>
      </w:r>
    </w:p>
    <w:p>
      <w:r>
        <w:t>Dr. C.___ argumentierte im Wesentlichen, dass die anlässlich der Röntgen untersuchung vom 2 4. Dezember 2020 objektivierbaren Zeichen einer midcarpalen Instabilität als Folge eines vollständigen SL-Band-Risses am rechten Handgelenk überwiegend wahrscheinlich auf ein Unfallereignis vor dem 1 8. Dezember 2020 zurückzuführen seien, da die Ausbildung der Rotationsinsta bilität des Os lunatum und des Os scaphoideum nach vollständiger SL-Band Ruptur länger in Anspruch nehme als die sechs Tage, die zwischen dem Unfall ereignis und der ersten Bildgebung lägen. Als stützende Quelle gab sie einen Literaturverweis an ( Urk. 9/88).</w:t>
      </w:r>
    </w:p>
    <w:p>
      <w:r>
        <w:t>Dr. A.___ hingegen führte im Wesentlichen aus, dass es verschiedene wissenschaftliche Publikationen gebe, die zeigten, dass je nach Verletzung sofort eine statische Instabilität entstehen könne. Darüber hinaus bestünden keinerlei degenerative Zeichen und die intraoperativen Befunde belegten auch, dass es sich um eine frische Läsion handeln müsse (E. 3.2).</w:t>
      </w:r>
    </w:p>
    <w:p>
      <w:r>
        <w:t>Die Stellungnahme von Dr. A.___ vermag Zweifel an der Beurteilung von Dr. C.___ hervorzurufen .</w:t>
      </w:r>
    </w:p>
    <w:p>
      <w:r>
        <w:rPr>
          <w:b/>
        </w:rPr>
        <w:t>E. 4.2</w:t>
      </w:r>
    </w:p>
    <w:p>
      <w:r>
        <w:t>Allerdings kann - unter Berücksichtigung der von Dr. C.___ angeführten Argumente und Literatur - sowie der Erfahrungstatsache, dass behandelnde Arztpersonen mitunter im Hinblick auf ihre auftragsrechtliche Vertrauensstellung in Zweifelsfällen eher zu Gunsten ihrer Patientinnen und Patienten aussagen (BGE 135 V 465 E. 4.5, 125 V 351 E. 3b/cc), nicht ohne weiteres auf die Argu mentation von Dr. A.___ abgestellt werden.</w:t>
      </w:r>
    </w:p>
    <w:p>
      <w:r>
        <w:rPr>
          <w:b/>
        </w:rPr>
        <w:t>E. 4.3</w:t>
      </w:r>
    </w:p>
    <w:p>
      <w:r>
        <w:t>Da – wie dargelegt (E .</w:t>
      </w:r>
    </w:p>
    <w:p>
      <w:r>
        <w:rPr>
          <w:b/>
        </w:rPr>
        <w:t>E. 4.4</w:t>
      </w:r>
    </w:p>
    <w:p>
      <w:r>
        <w:t>Der angefochtene Einspracheentscheid vom 1 7. März 2022 (Urk. 2) ist nach dem Gesagten aufzuheben und die Sache an die Beschwerdegegnerin zurückzuweisen, damit sie den medizinischen Sachverhalt in geeigneter Weise abklärt und hernach über den Leistungsanspruch des Beschwerdeführers neu entscheidet. Die Beschwerde ist in dem Sinne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