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UV.2022.00064 vom 1. März 2022</w:t>
      </w:r>
    </w:p>
    <w:p>
      <w:r>
        <w:t>ZH Sozialversicherungsgericht, 2022-03-01, DE</w:t>
      </w:r>
    </w:p>
    <w:p>
      <w:r>
        <w:rPr>
          <w:b/>
        </w:rPr>
        <w:t xml:space="preserve">Quelle: </w:t>
      </w:r>
      <w:r>
        <w:t>https://mcp.opencaselaw.ch/entscheid/zh_sozialversicherungsgericht_UV.2022.00064</w:t>
      </w:r>
    </w:p>
    <w:p>
      <w:r>
        <w:t>FR: ZH_SOZIALVERSICHERUNGSGERICHT UV.2022.00064 du 1 mars 2022</w:t>
      </w:r>
    </w:p>
    <w:p>
      <w:r>
        <w:t>IT: ZH_SOZIALVERSICHERUNGSGERICHT UV.2022.00064 del 1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1964, war seit Mai 2020 als Maler und Gipser bei der Y.___ GmbH angestellt und über diese bei der Suva gegen die Folgen von Berufs- und Nichtberufsunfällen versichert, als er am 1 5. J un i 2021 im Trep penhaus ausrutschte und sich dabei eine Rippenfraktur zuzog ( Urk. 7/1, Urk. 7/6 , Urk. 7/20, Urk. 7/25-27, Urk. 7/32 ) . Die Suva erbrachte für die Folgen des Ereig nisses vom 1 5. Juni 2021 die gesetzlichen Versi cherungsleistungen (vgl. Urk. 7 / 10 ).</w:t>
      </w:r>
    </w:p>
    <w:p>
      <w:r>
        <w:t>Mit Verfügung vom 1 8. Januar 2022 ( Urk. 7/59) stellte die Suva ihre Versiche rungsleistungen per 2 0. Dezember 2021 ein. Die vom zuständigen Krankenversi cherer vorsorglich erhobene Einsprache ( Urk. 7/63) wurde am 4. März 2022 wieder zurückgezogen ( Urk. 7/75). Auf die am 2 3. Februar 2022 vom Versicherten erhobene Einsprache ( Urk. 7/68) trat die Suva mit Einspracheentscheid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