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UV.2022.00018 vom 2. März 2022</w:t>
      </w:r>
    </w:p>
    <w:p>
      <w:r>
        <w:t>ZH Sozialversicherungsgericht, 2022-03-02, DE</w:t>
      </w:r>
    </w:p>
    <w:p>
      <w:r>
        <w:rPr>
          <w:b/>
        </w:rPr>
        <w:t xml:space="preserve">Quelle: </w:t>
      </w:r>
      <w:r>
        <w:t>https://mcp.opencaselaw.ch/entscheid/zh_sozialversicherungsgericht_UV.2022.00018</w:t>
      </w:r>
    </w:p>
    <w:p>
      <w:r>
        <w:t>FR: ZH_SOZIALVERSICHERUNGSGERICHT UV.2022.00018 du 2 mars 2022</w:t>
      </w:r>
    </w:p>
    <w:p>
      <w:r>
        <w:t>IT: ZH_SOZIALVERSICHERUNGSGERICHT UV.2022.00018 del 2 marzo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4. September 2021 ( Urk. 8/65) bei der Suva eine Eingabe ein.</w:t>
      </w:r>
    </w:p>
    <w:p>
      <w:r>
        <w:t>Er beantragte, es sei ihm die Einsprachefrist um 10 Tag e zu verlängern. Die Suva setzte</w:t>
      </w:r>
    </w:p>
    <w:p>
      <w:r>
        <w:t>ihm mit Schreiben vom 1 5. September 2021 ( Urk. 8/ 66)</w:t>
      </w:r>
    </w:p>
    <w:p>
      <w:r>
        <w:t>Frist zur Begrün dung der Einsprache bis zum 2 6. September 2021 an . Der Rechtsvertreter reichte der Suva am</w:t>
      </w:r>
    </w:p>
    <w:p>
      <w:r>
        <w:rPr>
          <w:b/>
        </w:rPr>
        <w:t>E. 2</w:t>
      </w:r>
    </w:p>
    <w:p>
      <w:r>
        <w:t>Der Versicherte erhob am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