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UV.2021.00209 vom 24. November 2022</w:t>
      </w:r>
    </w:p>
    <w:p>
      <w:r>
        <w:t>ZH Sozialversicherungsgericht, 2022-11-24, DE</w:t>
      </w:r>
    </w:p>
    <w:p>
      <w:r>
        <w:rPr>
          <w:b/>
        </w:rPr>
        <w:t xml:space="preserve">Quelle: </w:t>
      </w:r>
      <w:r>
        <w:t>https://mcp.opencaselaw.ch/entscheid/zh_sozialversicherungsgericht_UV.2021.00209</w:t>
      </w:r>
    </w:p>
    <w:p>
      <w:r>
        <w:t>FR: ZH_SOZIALVERSICHERUNGSGERICHT UV.2021.00209 du 24 novembre 2022</w:t>
      </w:r>
    </w:p>
    <w:p>
      <w:r>
        <w:t>IT: ZH_SOZIALVERSICHERUNGSGERICHT UV.2021.00209 del 24 novembre 2022</w:t>
      </w:r>
    </w:p>
    <w:p>
      <w:pPr>
        <w:pStyle w:val="Heading2"/>
      </w:pPr>
      <w:r>
        <w:t>Erwägungen</w:t>
      </w:r>
    </w:p>
    <w:p>
      <w:r>
        <w:rPr>
          <w:b/>
        </w:rPr>
        <w:t>E. 1</w:t>
      </w:r>
    </w:p>
    <w:p>
      <w:r>
        <w:t>X.___ (vormals Y.___ , Urk. 7/II/307 ), geboren 1980 , war zuletzt von Juni 2015 bis 3 0. April 2017 als Kundenberaterin bei der Z.___</w:t>
      </w:r>
    </w:p>
    <w:p>
      <w:r>
        <w:t>tätig ( Urk. 7/I/3, Urk. 7/I/92 ). Als Arbeitslose war sie bei der Suva gegen die Folgen von Berufs- und Nichtberufsunfällen versichert, als das von ihr gelenkte Auto am 5. Juni 2017 in Italien frontal mit einem entgegenkommenden Fahrzeug kollidierte und sie dabei ein Thorax- und ein Wirbelsäulentrauma sowie eine Beckenringverletzung erlitt ( Urk. 7/I/1, Urk. 7/I/3 , Urk. 7/I/55 ). Die Suva erbrachte in der Folge die gesetzlichen Leistungen ( Urk. 7/I/10) .</w:t>
      </w:r>
    </w:p>
    <w:p>
      <w:r>
        <w:t>Mit Verfügung vom 4. Dezember 2019 verneinte sie die Adäquanz der weiterhin geklagten Beschwerden und stellte die Einstellung der Versicherungsleistungen per 3 1. Dezember 2019 in Aussicht. Ferner verneinte sie einen Anspruch auf eine Invalidenrente und eine Integritäts entschädigung ( Urk. 7/III/378), wogegen die Versicherte am 2 0. Januar 2020 Einsprache erhob ( Urk. 7/III/393). Nachdem sie die Versicherte am 2 4. März 2021 von Kreisarzt Dr. med. A.___ , Facharzt für orthopädische Chirurgie und Traumatologie, hatte untersuchen lassen ( Urk. 7/III/438), zog die Suva die Verfügung vom 4. Dezember 2019 m it Verfü gung vom 1 1. Mai 2021 zurück, verneinte wiederum einen Anspruch der Versicherten auf eine Invalidenrente und sprach ihr aber aufgrund einer Integri tätseinbusse von 35 %</w:t>
      </w:r>
    </w:p>
    <w:p>
      <w:r>
        <w:t>eine Integritätsentschädigung zu ( Urk. 7/III/445). Die von der Versicherten dagegen am 1 1. Juni 2021 erhobene Einsprache ( Urk. 7/III/453), wies die Suva mit Einspracheentscheid vom 2 1. September 2021 ab ( Urk. 7/III/456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w:t>
      </w:r>
    </w:p>
    <w:p>
      <w:r>
        <w:rPr>
          <w:b/>
        </w:rPr>
        <w:t>E. 2</w:t>
      </w:r>
    </w:p>
    <w:p>
      <w:r>
        <w:t>S. 7) .</w:t>
      </w:r>
    </w:p>
    <w:p>
      <w:r>
        <w:rPr>
          <w:b/>
        </w:rPr>
        <w:t>E. 2.1</w:t>
      </w:r>
    </w:p>
    <w:p>
      <w:r>
        <w:t>D ie Beschwerdegegnerin erwog im angefochtenen Entscheid, für die Frage, welches Invalideneinkommen die Beschwerdeführerin auf dem allgemeinen Arbeitsmarkt noch erwirtschaften könne, sei auf das medizinische Zum utbarkeits profil abzustellen . Die kreisärztliche Untersuchung vom 2 4. März 2021 habe ergeben, dass sie in einer ihren Beschwerden angepassten Tätigkeit ganztags arbeitsfähig sei ( Urk.</w:t>
      </w:r>
    </w:p>
    <w:p>
      <w:r>
        <w:rPr>
          <w:b/>
        </w:rPr>
        <w:t>E. 2.2</w:t>
      </w:r>
    </w:p>
    <w:p>
      <w:r>
        <w:t>D ie Beschwerdeführerin brachte dagegen vor, dass das</w:t>
      </w:r>
    </w:p>
    <w:p>
      <w:r>
        <w:t>Validene inkommen und das Invalideneinkommen auf den gleichen theor etischen Tabellenlöhnen basiere , sei nicht zu beanstanden . Nicht korrekt sei aber die ungenügende Abklärung der zumutbaren Leistung. Aufgrund der fehlenden Austestung über einen Arbeits versuch oder eine BEFAS werde auf die Einschätzung der Mediziner abgestellt (ganztags zumutbar mit Einschränk ungen). Diese Einschränkungen wü rden von der Beschwerdegegnerin in Form eines Leidensabzuges von 5 % berücksichtigt. Eine Wirbelsäulendeformation mit Einschränkungen bei Belastung wirke sich jedoch im angestammten Bereich als kaufmännische Angestellte überproportio nal aus. Der Beruf sei immer mehr auf Bildschirmarbeiten fixiert, was eben gerade zu verm eidende Zwangshaltungen bedinge . Entweder führe dies zu zus ätzlichen Pausen, die über das Normale hinaus gehen würden , oder aber zu Reduktionen in der Leistungsfähigkeit. Auch wenn bisher keine Arbeitserprobun g durchgeführt worden sei, dürf e auf Basis der rein</w:t>
      </w:r>
    </w:p>
    <w:p>
      <w:r>
        <w:t>theoretischen medizinischen Einschätzung davon ausgegangen werden, dass die Einschränkung 10 % übersteige ( Urk. 1 S. 5).</w:t>
      </w:r>
    </w:p>
    <w:p>
      <w:r>
        <w:t>Zum Zusammenspiel ärztlicher Beurteilung und berufliche r Massnahmen verweise sie auf die bundesgerichtliche Rechtsprechung , wonach der Arztperson bei der Folgenabschätzung der erhobenen gesundheitlichen Beeinträchtigungen für die Arbeitsfähigkeit keine abschlie ssende Beurteilungskompetenz zukomme, sondern n ötigenfalls - in Ergänzung der medizinischen Unterlagen - für die Ermittlung des für den Erwerb nutzbaren Leistungsvermögens die Fachpersonen der beruflichen Integration und Berufsberatung einzuschalten seien . Zu bevor zugen sei vorliegend eine berufliche Abklärung in Form einer MEDAS oder im Rahmen eines Arbeitsversuches in Zusammenarbeit mit der Invalidenversiche rung ( Urk. 1 S. 5 f. ).</w:t>
      </w:r>
    </w:p>
    <w:p>
      <w:r>
        <w:rPr>
          <w:b/>
        </w:rPr>
        <w:t>E. 2.3</w:t>
      </w:r>
    </w:p>
    <w:p>
      <w:r>
        <w:t>Die Beschwerdegegnerin ergänzte in der Beschwerdeantwort, dem kreisärztlichen Untersuchungsbericht komme voller Beweiswert zu. Bei dieser Ausgangslage seien keine weitere n Abklärungen zu tätigen , insbesondere erübrigten sich weitere Abklärungen der zumutbaren Leistung wie die beantragte BEFAS-Abklärung ( Urk.</w:t>
      </w:r>
    </w:p>
    <w:p>
      <w:r>
        <w:rPr>
          <w:b/>
        </w:rPr>
        <w:t>E. 2.4</w:t>
      </w:r>
    </w:p>
    <w:p>
      <w:r>
        <w:t>Strittig und zu prüfen ist der Anspruch auf eine Invalidenrente und insbesondere die Bemessung des Invalideneinkommens.</w:t>
      </w:r>
    </w:p>
    <w:p>
      <w:r>
        <w:t>Demgegenüber ist die Höhe des Integritätsschadens beziehungsweise der Integri tätsentschädigung nicht (mehr) strittig. 3.</w:t>
      </w:r>
    </w:p>
    <w:p>
      <w:r>
        <w:t>Gestützt auf die kreisärztliche Untersuchung vom 2 4. März 2021 stellte Dr. A.___</w:t>
      </w:r>
    </w:p>
    <w:p>
      <w:r>
        <w:t>in seinem Bericht vom 1. April 2021 die Diagnose eines Zustandes nach schwerem Thorax-, Halswirbelsäulen- und Beckentrauma am 5. Juni 2017 mit in leichter Ventraltranslation verheilender Densfraktur Typ II nach Anderson und d’Alonso sowie beginnender ventraler Fusion HWK1/2 rechts vom 5. Juni 2017, verheilter Beckenringverletzung Typ LC I links nach Young &amp; Burgess vom 5. Juni 2017 und verheilte m Thoraxwand- und Sternuminfekt im Juni 201 7. Er hielt fest, von weiteren ärztlichen Behandlungen sei nicht mehr überwiegend wahrscheinlich von einer Besserung zu erwarten , aus versicherungsmedizinischer Sicht sei daher vo m medizinischen Endzustand auszugehen ( Urk. 7/III/438/10). Der Beschwerdeführerin sei eine leichte wechselbelastende Tätigkeit ohne monotone Haltungen des Rückens über dreissig Minuten ganztags zumutbar. Länger andauerndes oder repetitives Einnehmen einer Zwangshaltung für die Wirbelsäule wie eine gebückte Haltung und Tätigkeiten mit maximalen oder länger dauernden Kopf- und/oder Rumpf rotationen seien weitgehend zu meiden. Das Arbeiten auf Leitern und Gerüsten sowie andauernde Vibrationsbelastungen für die Wirbelsäule seien unzulässig. Eine Wechselbelastung sollte dahingehend ermöglicht werden ( Urk. 7/III/438/11). 4.</w:t>
      </w:r>
    </w:p>
    <w:p>
      <w:r>
        <w:t>4.1</w:t>
      </w:r>
    </w:p>
    <w:p>
      <w:r>
        <w:t>Die Beschwerdegegnerin stützte sich bei der Beurteilung der Arbeitsfähigkeit der Beschwerdeführerin auf die kreisärztliche Beurteilung vom 1. April 2021 und das darin formulierte Zumutbarkeitsprofil ( Urk. 2 S. 5 ). Diese ärztliche Beurteilung blieb unbestritten. Da sie darüber hinaus anhand der Vorakten nachvollziehbar ist und das erstellte Zumutbarkeitsprofil auf die bestehenden Einschränkungen angemessen Rücksicht nimmt, ist für die Beurteilung der erwerblichen Auswir kungen des Gesundheitsschadens darauf abzustell en. Damit ist erstellt, dass der Beschwerdeführerin eine leichte wechselbelastende Tätigkeit ohne monotone Haltungen des Rückens über dreissig Minuten ganztags zumutbar ist. Dabei sind länger andauerndes oder repetitives Einnehmen einer Zwangshaltung für die Wirbelsäule , wie eine gebückte Haltung , und Tätigkeiten mit maximalen oder länger dauernden Kopf- und/ode r Rumpfrotationen weitgehend zu meiden. Das Arbeiten auf Leitern und Gerüsten sowie andauernde Vibrationsbelastungen für die Wirbelsäule sind unzulässig. Eine Wechselbelastung sollte dahingehend ermöglicht werden ( Urk. 7/III/438/11).</w:t>
      </w:r>
    </w:p>
    <w:p>
      <w:r>
        <w:t>Ein Beizug der Akten der Invalidenver sicherung erübrigt sich bei dieser Sachlage, zumal das von der Invalidenversiche rung eingeholte MEDAS-Gutachten bereits aktenkundig ist .</w:t>
      </w:r>
    </w:p>
    <w:p>
      <w:r>
        <w:t>D ie Gutachter waren zum Schluss gekommen, dass keine Diagnosen mit Relevanz für die Arbeits fähigkeit vorliegen ( Urk. 7/III/440/9). 4.2</w:t>
      </w:r>
    </w:p>
    <w:p>
      <w:r>
        <w:t>Zum Einwand der fehlenden Durchführung einer Abklärung der beruflichen Leistungsfähigkeit ist festzuhalten, dass bei zuverlässiger ärztlicher Beurteilung der Arbeitsfähigkeit in der Regel keine Notwendigkeit besteht, die Rechtsfrage der E rwerbsunfähigkeit durch eine Evaluation der funktionellen Leistungsfähigkeit zu überprüfen .</w:t>
      </w:r>
    </w:p>
    <w:p>
      <w:r>
        <w:t>Ausnahmsweise kann eine solche erforderlich sein, wenn mehrere involvierte Ärzte eine solche angesichts eines multiplen und schwierig einzuschätzenden Krankheitsbildes ausdrücklich befürworten (Urteil des Bundes gerichts 8C_711/2016 vom 1 5. Dezember 2016 E. 3.5). Solche Umstände macht die Beschwerdeführerin nicht geltend und sind auch nicht ersichtlich. Weiter gehende Abklärungen zur beruflichen Leistungsfähigkeit der Beschwerdeführerin erweisen sich daher nicht als erforderlich (antizipierte Beweiswürdigung; vgl. BGE 136 I 229 E. 5.3 mit Hinweisen). 4.3</w:t>
      </w:r>
    </w:p>
    <w:p>
      <w:r>
        <w:t>Im Weiteren steh t auch d er</w:t>
      </w:r>
    </w:p>
    <w:p>
      <w:r>
        <w:t>gemäss Beschwerde bei der IV-Stelle gestellte Antrag auf berufliche Massnahmen ( Urk. 1 S. 2 und S. 6) dem Fallabschluss und der Rentenbemessung nicht entgegen . Denn n ach Lage der Akten waren im Zeitpunkt der Einstellung der vorübergehenden Leistungen</w:t>
      </w:r>
    </w:p>
    <w:p>
      <w:r>
        <w:t>Eingliederungsmassnahmen weder im Gange noch in Aussicht gestellt (vgl. dazu die im MEDAS-Gutachten vom 2 5. Februar 2021 erwähnte Verneinung von Eingliederungsmassnahmen , U rk. 7/ III/ 440/ 25 und 79). Etwas anderes wird von der Beschwerdeführerin auch nicht dargetan. 5.</w:t>
      </w:r>
    </w:p>
    <w:p>
      <w:r>
        <w:t>5.1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5.2</w:t>
      </w:r>
    </w:p>
    <w:p>
      <w:r>
        <w:t>Vorliegend stützte sich die Beschwerdegegnerin zur Ermittlung des Validenein kommens auf die Tabellenlöhne gemäss den vom Bundesamt für Statistik (BFS) periodisch herausgegebenen Lohnstrukturerhebungen, konkret den Lohn für Bürotätigkeiten und verwandte Berufe gemäss der Tabelle T17 der Lohnstruk turerhebung 201 8. Da die Beschwerdeführerin im Unfallzeitpunkt arbeitslos war, weshalb nicht auf das in der bisherigen Tätigkeit erzielte Einkommen abgestellt werden kann, indessen in ihrer Erwerbskarriere bisher hauptsächlich B ürotätig keiten aus ge übt hatt e und auch eine diesbezügliche Ausbildung aufweist (vgl. Urk. 7/I/92) , ist dies nicht zu beanstanden und blieb von der Beschwerdeführerin auch unbestritten. Da der Beschwerdeführerin die angestammte Tätigkeit grund sätzlich weiterhin zumutbar ist und sie im Verfügungszeitpunkt keine Tätigkeit ausübte, ging die Beschwerdegegnerin betreffend das Invalideneinkommen zu Recht ebenfalls von den Tabellenlöhnen für Bürotätigkeiten und verwandte Berufe aus. Sind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 9. Juni 2017 E. 4 unter Hinweis auf Urteil 9C_675/2016 vom 1 8. April 2017 E. 3.2.1). Ohne Berücksichtigung eines leidens bedingten Abzugs würde der Invaliditätsgrad vorliegend demnach 0 % betragen. 5.3 5.3 .1</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5.3 .2</w:t>
      </w:r>
    </w:p>
    <w:p>
      <w:r>
        <w:t>Die Beschwerdegegnerin hielt einen leidensbedingten Abzug von 5 % für (knapp) gerechtfertigt ( Urk. 2 S. 6, Urk.</w:t>
      </w:r>
    </w:p>
    <w:p>
      <w:r>
        <w:rPr>
          <w:b/>
        </w:rPr>
        <w:t>E. 6</w:t>
      </w:r>
    </w:p>
    <w:p>
      <w:r>
        <w:t>S. 4). Die Beschwerdeführerin macht dagegen geltend, dass der Abzug auf mindestens 10 % zu erhöhen sei, da sich die Wirbel säulendeformation mit Einschränkungen der Belastung im angestammten Bereich als kaufmännische Angestellte - der immer mehr auf Bildschirmarbeiten ausge richtet sei, was gerade zu vermeidende Zwangshaltungen bedinge - überpropor tional auswirke</w:t>
      </w:r>
    </w:p>
    <w:p>
      <w:r>
        <w:t>( Urk. 1 S. 5). 5.3 .3</w:t>
      </w:r>
    </w:p>
    <w:p>
      <w:r>
        <w:t>Dass eine grundsätzlich vollzeitlich arbeitsfähige versicherte Person gesund heitlich bedingt lediglich reduziert leistungsfähig ist, rechtfertigt an sich noch keinen Abzug vom Tabellenlohn (Urteil des Bundesgerichts 9C_728/2009 vom 2 1. Sep tember 2010 E. 4.3.2). Bestehen jedoch über das ärztlich beschriebene Beschäfti gungspensum hinaus zusätzliche Einschränkungen, wie ein vermin 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8C_163/2015 vom 1 6. Juni 2015 E. 3.2.2 mit Hinweisen). 5.3.4</w:t>
      </w:r>
    </w:p>
    <w:p>
      <w:r>
        <w:t>Der Beschwerdeführerin ist es nach dem vorstehend Ausgeführten</w:t>
      </w:r>
    </w:p>
    <w:p>
      <w:r>
        <w:t>unbestrittener massen zumutbar, die bisherige Tätigkeit im Bürobereich weiterhin auszuüben. Zwar ist ihr dahingehend beizupflichten, dass dieses Tätigkeitsgebiet oftmals einen erheblichen Anteil an Bildschirmarbeiten enthält . Inwiefern dabei jedoch Zwangshaltungen beziehungsweise längerdauernde monotone Haltungen des Rückens eingenommen werden müssen, ist indessen nicht ersichtlich, kann bei der Bildschirmarbeit doch die H altung grundsätzlich frei gewählt werden und ist es bei entsprechender Ausrüstung des Arbeitsplatzes (zum Beispiel mit einem höhenverstellbaren Arbeitstisch ) auch möglich, diese in Wechselbelastung auszu üben . Anhaltspunkte dafür, dass die funktionelle n Einschränkung en der Beschwerdeführerin nicht ohne weiteres mit den Anforderungen vereinbar wären , wie sie sich aus den gewöhnlichen betrieblichen Abläufen ergeben , sind daher nicht erkennbar, insbesondere ist nicht</w:t>
      </w:r>
    </w:p>
    <w:p>
      <w:r>
        <w:t>davon auszugehen , dass sich die Notwen digkeit einer Wechselbelastung zusätzlich lohnmindernd auswirkt . Der von der Beschwerdegegnerin für die Körperhaltungseinschränkung gewährte Abzug von 5 % erweist sich daher als grosszügig bemessen und es erscheint nicht als gerechtfertigt, diesen zu erhöhen. Ein erhöhter Pausenbedarf oder eine Reduktion der Leistungsfähigkeit lassen sich dem medizinischen Zumutbarkeitsprofil dar über hinaus</w:t>
      </w:r>
    </w:p>
    <w:p>
      <w:r>
        <w:t>nicht entnehmen (vgl. Urk. 7/III/438/11). Weitere , von der Beschwer degegnerin bislang unberücksichtigte Faktoren, die zu einem höheren Abzug führen könnten,</w:t>
      </w:r>
    </w:p>
    <w:p>
      <w:r>
        <w:t>macht die Beschwerdeführerin nicht geltend und solche sind auch nicht ersichtlich. Damit beste ht insgesamt keine Veranlassung , in die Ermessensausübung der Beschwerdegegnerin einzugreifen. 5.3.5</w:t>
      </w:r>
    </w:p>
    <w:p>
      <w:r>
        <w:t>Die Beschwerdegegnerin hat den Rentenanspr uch der Beschwerdeführerin nach dem Gesagten zu Recht verneint und der angefochtene Einspracheentscheid</w:t>
      </w:r>
    </w:p>
    <w:p>
      <w:r>
        <w:t>( Urk. 2) erweist sich als rechtens. Dies führt zur Abweisung der Beschwerde. Das Gericht erkennt: 1.</w:t>
      </w:r>
    </w:p>
    <w:p>
      <w:r>
        <w:t>Die Beschwerde wird abgewiesen. 2.</w:t>
      </w:r>
    </w:p>
    <w:p>
      <w:r>
        <w:t>Das Verfahren ist kostenlos. 3.</w:t>
      </w:r>
    </w:p>
    <w:p>
      <w:r>
        <w:t>Zustellung gegen Empfangsschein an: - O.___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