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UV.2021.00172 vom 27. April 2021</w:t>
      </w:r>
    </w:p>
    <w:p>
      <w:r>
        <w:t>ZH Sozialversicherungsgericht, 2021-04-27, DE</w:t>
      </w:r>
    </w:p>
    <w:p>
      <w:r>
        <w:rPr>
          <w:b/>
        </w:rPr>
        <w:t xml:space="preserve">Quelle: </w:t>
      </w:r>
      <w:r>
        <w:t>https://mcp.opencaselaw.ch/entscheid/zh_sozialversicherungsgericht_UV.2021.00172</w:t>
      </w:r>
    </w:p>
    <w:p>
      <w:r>
        <w:t>FR: ZH_SOZIALVERSICHERUNGSGERICHT UV.2021.00172 du 27 avril 2021</w:t>
      </w:r>
    </w:p>
    <w:p>
      <w:r>
        <w:t>IT: ZH_SOZIALVERSICHERUNGSGERICHT UV.2021.00172 del 27 aprile 2021</w:t>
      </w:r>
    </w:p>
    <w:p>
      <w:pPr>
        <w:pStyle w:val="Heading2"/>
      </w:pPr>
      <w:r>
        <w:t>Erwägungen</w:t>
      </w:r>
    </w:p>
    <w:p>
      <w:r>
        <w:rPr>
          <w:b/>
        </w:rPr>
        <w:t>E. 1</w:t>
      </w:r>
    </w:p>
    <w:p>
      <w:r>
        <w:t>X.___ , geboren 1960, war seit 199</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des Bundesgesetzes üb 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 tenalters ereignet hat ( Art. 18 Abs. 1 UVG) . Der Rentenanspruch entsteht, wenn von der Fortsetzung der ärztlichen Behandlung keine namhafte Besserung des Gesundheitszustandes mehr erwartet werden kann und allfällige Eingliederungs massnahmen der Invalidenversicherung abgeschlossen sind. Mit dem Renten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1.5</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w:t>
      </w:r>
    </w:p>
    <w:p>
      <w:r>
        <w:t>anspruchsaufhebende Tatsache handelt, liegt die entsprechende Beweis last – anders als bei der Frage, ob ein leistungsbegründender natürlicher Kausal zusammenhang gegeben ist –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1.6</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 tember 2014, BBl 2014 7922 7934 f.).</w:t>
      </w:r>
    </w:p>
    <w:p>
      <w:r>
        <w:t>Gemäss BGE 146 V 51 ergibt sich a 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Unfallversiche rers. Denn bei der in erster Linie von medizinischen Fachpersonen zu beurteilen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w:t>
      </w:r>
    </w:p>
    <w:p>
      <w:r>
        <w:t>%, auf Abnützung oder Erkrankung zurückzu führen ist. Besteht das Ursachenspektrum einzig aus Elementen, die für Abnüt zung oder Erkrankung sprechen, so folgt daraus unweigerlich, dass der Entlas tungsbeweis des Unfallversicherers erbracht ist und sich we itere Abklärungen erübrigen (E. 8.6 ; vgl. auch Urteil des Bundesgerichts 8C_593/2021 vom 6. Januar 2022 E. 2.3 ). 1.</w:t>
      </w:r>
    </w:p>
    <w:p>
      <w:r>
        <w:rPr>
          <w:b/>
        </w:rPr>
        <w:t>E. 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(Urteil des Bundesgerichts 8C_75/2016 vom 18. April 2016 E. 2.2 mit Hinweis auf BGE 134 V 109 E. 2.1).</w:t>
      </w:r>
    </w:p>
    <w:p>
      <w:r>
        <w:rPr>
          <w:b/>
        </w:rPr>
        <w:t>E. 4.1</w:t>
      </w:r>
    </w:p>
    <w:p>
      <w:r>
        <w:t>mit Hinweisen). Demzufolge stellt diese Aussage nur ein Indiz unter mehreren dar . Hinzuweisen bleibt jedoch darauf , dass in den Krankengeschichten (KG)-Eintragungen (Urk. 13 = Urk. 21/1) hinsichtlich Unfall hergang zeitnah hervorgeht, dass der Beschwerdeführer am 1. Dezember 2020 auf einer Treppe gestolpert sei und sich beim Herabrutschen mit dem linken Arm am Geländer festhalten habe (S. 1 oben). Diesbezüglich zweifelte die Beschwerde gegnerin zwar deren Echtzeitlichkeit im Sinne einer späteren Ergänzung an (Urk. 16 S. 2). Dass Dr. A.___ sich die Mühe machte, auch noch die genauen Tests/Befunde zu erwähnen, dürfte wohl eher gegen eine nachträgliche Eintra gung sprechen .</w:t>
      </w:r>
    </w:p>
    <w:p>
      <w:r>
        <w:t>Einzig aus dem Umstand, dass die Eintragungen handschriftlich verfasst wurden, kann die Beschwerdegegnerin nichts zu ihren Gunsten ableiten, könn t en doch auch elektronisch verfasste Einträge nachträglich geändert werden. Darüber hinaus ist festzuhalten, dass sich im Rahmen des gerichtlichen Beizugs der KG-Eintragungen zeigte, dass Dr. D.___ gar nicht über die vollständigen Akten zur Beurteilung der Kausalität verfügte. Dies stellt seine Beurteilung doch erheblich in Frage. Ebenso ist nicht nachvollziehbar, dass die Beschwerdegegne rin die KG-Einträge ihrem Kreisarzt im Rahmen ihrer Stellungnahme nicht noch einmal vorlegte. 4. 3</w:t>
      </w:r>
    </w:p>
    <w:p>
      <w:r>
        <w:t>Des Weiteren ging Dr. C.___ gestützt auf den geschilderten Unfallmecha nismus mit Festhalten am Geländer vom Vorhandensein einer traumatischen Ruptur der Supraspinatussehne aus (vgl. vorstehend E. 3.6, E. 3.11). Ebenso wurde in der</w:t>
      </w:r>
    </w:p>
    <w:p>
      <w:r>
        <w:t>KG -Eintragung von Dr. A.___ ( Urk. 13 = Urk. 21/1) vom 1. Dezember 2020 , somit am Unfalltag, eine schmerzhafte Schulterelevation links und ein « J obe pos.» erwähnt (S. 1 oben) , was einen Supraspinatus -T est darstellt (S. 1 oben).</w:t>
      </w:r>
    </w:p>
    <w:p>
      <w:r>
        <w:t>Dieser Test wurde gemäss Eintrag vom 7. Dezember 2020 wiederholt</w:t>
      </w:r>
    </w:p>
    <w:p>
      <w:r>
        <w:t>(S. 1 Mitte). Ein solcher Test dürfte wohl nicht ohne Grund durchgeführt werden . F erner wurde</w:t>
      </w:r>
    </w:p>
    <w:p>
      <w:r>
        <w:t>auch am 23 . Dezember 2020</w:t>
      </w:r>
    </w:p>
    <w:p>
      <w:r>
        <w:t>–</w:t>
      </w:r>
    </w:p>
    <w:p>
      <w:r>
        <w:t>und damit immer noch zeitnah zum Unfallereignis vom 1. Dezember 202 0</w:t>
      </w:r>
    </w:p>
    <w:p>
      <w:r>
        <w:t>–</w:t>
      </w:r>
    </w:p>
    <w:p>
      <w:r>
        <w:t>von einer leichte n Zunahme der Schul ter schmerzen link s berichtet (S. 1 unten) .</w:t>
      </w:r>
    </w:p>
    <w:p>
      <w:r>
        <w:t>Auch im Februar 2021 berichtete Dr. A.___</w:t>
      </w:r>
    </w:p>
    <w:p>
      <w:r>
        <w:t>über zunehmende Schulterschmerzen links und äusserte einen Verdacht auf frozen</w:t>
      </w:r>
    </w:p>
    <w:p>
      <w:r>
        <w:t>shoulder (vgl. vorstehend E. 3.3) .</w:t>
      </w:r>
    </w:p>
    <w:p>
      <w:r>
        <w:t>Demgegenüber</w:t>
      </w:r>
    </w:p>
    <w:p>
      <w:r>
        <w:t>eignen sich d as eingereichte Foto der Universitätsklinik B.___ (Urk. 21/2) nicht, um eine rechtsgenügliche Unfallkausalitätsbeurteilung hin sicht lich der Schulterbeschwerden vorzunehmen .</w:t>
      </w:r>
    </w:p>
    <w:p>
      <w:r>
        <w:rPr>
          <w:b/>
        </w:rPr>
        <w:t>E. 4.2</w:t>
      </w:r>
    </w:p>
    <w:p>
      <w:r>
        <w:t>Zur Frage der vorliegend strittigen Unfallkausalität der Schulterbeschwerden erfolgte n zwei ärztliche Aktenb eurteilung en durch Dr. D.___ (vgl. vorstehend E. 3 .7 und E. 3.9 ) . Dieser legte dar, weshalb aus seiner Sicht hinsichtlich der Prellungen des Thorax und der LWS der Status quo sine überwiegend wahr scheinlich bereits nach sechs Monaten erreicht war . Hinsichtlich Unfallkausalität der über den 11. April 2021 hinaus geklagten Schulterbeschwerden begründete Dr. D.___ gestützt auf den bildgebenden Befund vom 8. Februar 2021 (vgl. vorstehend E. 3.4) eine solch fehlende mit einer vorbestehenden Beeinträchtigung (vgl. vorstehend E. 3.9).</w:t>
      </w:r>
    </w:p>
    <w:p>
      <w:r>
        <w:t>Gestützt auf das MRI-Bild vom 8. Februar 2021 der linken Schulter wurde die Frage, ob die Verletzungen in der linken Schulter degenerativ bedingt oder durch das Ereignis vom 1. Dezember 2020 versursacht seien, kontrovers beurteilt. Weder begründete Dr. D.___ in seinen Beurteilungen , weshalb der Schaden am betroffene n Schultergelenk vorbestehend sei , noch machte er Ausführungen, ob das Unfallereignis geeignet gewesen sei, eine Supraspinatussehne zu rupturieren (vgl. vorstehend E. 3.7 und E. 3.9) . Aus dem bildgebenden Befund geht nicht hervor, ob der Treppensturz für die Supraspinatussehnenruptur hierfür das auslösende Ereignis war . Klassische Hinweise auf in relevantem Ausmass vor beste hende Degenerationen wie eine fortgeschrittene Muskelatrophie oder eine Verfet tung der Rotatorenmanschettenruptur (vgl. Urteile des Bundesgerichts 8C_167/2021 vom 16. Dezember 2021 E.</w:t>
      </w:r>
    </w:p>
    <w:p>
      <w:r>
        <w:rPr>
          <w:b/>
        </w:rPr>
        <w:t>E. 4.4</w:t>
      </w:r>
    </w:p>
    <w:p>
      <w:r>
        <w:t>Zusammenfassend ist nicht beurteilbar, ob die Auffassung von Dr. D.___ oder jene der behandelnden Ärzte, namentlich von Dr. C.___ zutrifft, weshalb Zweifel an der Richtigkeit der Akteneinschätzung(en) von Dr. D.___ bestehen. Die Zweifel an der Beurteilung durch Dr. D.___ haben, selbst bei geringer Aus prägung, bei einem beratenden Arzt zur Folge, dass nicht auf dessen Beurteilung a bgestellt werden kann (vgl. vorstehend E. 1.</w:t>
      </w:r>
    </w:p>
    <w:p>
      <w:r>
        <w:rPr>
          <w:b/>
        </w:rPr>
        <w:t>E. 4.5</w:t>
      </w:r>
    </w:p>
    <w:p>
      <w:r>
        <w:t>Auch reichen die Beurteilungen von Dr. A.___ (vgl. vorstehend E. 3.1, E. 3.3, E. 3.5 , E. 3.8)</w:t>
      </w:r>
    </w:p>
    <w:p>
      <w:r>
        <w:t>für sich alleine nicht aus, um unbesehen darauf abstellen zu können, obwohl aus seinen internen KG-Eintragungen eine mögliche Schulter verletzung bereits im Dezember 2020 hervorgeht (Urk. 13). Zudem ist im Hinblick auf seine späteren Überlegungen auf die Erfahrungstatsache hinzuweisen, dass in Bezug auf Berichte von behandelnden Arztpersonen beziehungsweise Therapie kräften, diese mitunter im Hinblick auf ihre auftragsrechtliche Vertrauensstellung in Zweifelsfällen eher zu Gunsten ihrer Patientinnen und Patienten aussagen (BGE 135 V 465 E. 4.5, 125 V 351 E. 3b/cc) , was sich insbesondere darin zeigt, dass Dr. A.___ im Schreiben vom 13. April 2021 gegenüber der Beschwer degegnerin Partei ergriff (vgl. vorstehend E. 3.8). Gleiches hat auch für Dr. C.___ zu gelten, welcher den Beschwerdeführer am 4. Mai 2021 (vgl. vorstehend E. 3.10) operierte und im Zuge des Beschwerdeverfahrens am 28. Juli 2021 Stellung bezog (vgl. vorstehend E. 3.11).</w:t>
      </w:r>
    </w:p>
    <w:p>
      <w:r>
        <w:t>Zudem ist d ie Beweisregel « post hoc ergo propter hoc » , nach deren Bedeutung eine gesundheitliche Schädigung schon dann als durch den Unfall verursacht gilt, weil sie nach diesem aufgetreten ist, ist – wie die Beschwerdegegnerin zu Recht festhält (vgl. Urk. 7 S. 4 oben)</w:t>
      </w:r>
    </w:p>
    <w:p>
      <w:r>
        <w:t>– beweisrechtlich nich t zulässig (vgl. BGE 119 V 335 E. 2b/ bb sowie Bundesger ichtsurteile 8C_772/2019 vom 4. August 2020 E. 4.2.2, 8C_403/2012 vom 19. Juni 2012 E. 3.3 mit Hinweisen ). Es genügt vor liegend jedoch nicht, wenn sich die Beschwerdegegnerin auf diesen Umstand beruft. Wenngleich dies der näheren Abklärung bedarf, kann aufgrund der Akten eine Kausalität zwischen dem Unfallereignis und der Beeinträchtigung der linken Schulter des Beschwerdeführers nicht mit überwiegender Wahrscheinlichkeit aus geschlossen werden . Wie vorstehend in E. 4. 4</w:t>
      </w:r>
    </w:p>
    <w:p>
      <w:r>
        <w:t>dargelegt, bestehen Zweifel an der Beurteilung des beratenden Arztes Dr. D.___ . Bisher hat noch keine versiche rungsexterne Begutachtung stattgefunden. Es ist nun an der Beschwerdegegnerin, eine versicherungsexterne medizinische Begutachtung zu veranlassen, damit die Frage nach der Kausalität der Schulterverletzung und einer</w:t>
      </w:r>
    </w:p>
    <w:p>
      <w:r>
        <w:t>allfälligen diesbezüg lichen</w:t>
      </w:r>
    </w:p>
    <w:p>
      <w:r>
        <w:t>Leistungspflicht für das Ereignis vom 1 . Dezember 2020 geklärt werden kann.</w:t>
      </w:r>
    </w:p>
    <w:p>
      <w:r>
        <w:rPr>
          <w:b/>
        </w:rPr>
        <w:t>E. 4.6</w:t>
      </w:r>
    </w:p>
    <w:p>
      <w:r>
        <w:t>Im Lichte der obigen Ausführungen bestehen hinreichende Zweife l an der als rein verwaltungsintern zu wertenden medizinischen Beurteilung des Versicherungs arztes der Beschwerdegegnerin, wonach die Schulterbeschwerden links nicht über wiegend wahrscheinlich unfallkausal gewesen seien, weshalb der Ein spracheentscheid</w:t>
      </w:r>
    </w:p>
    <w:p>
      <w:r>
        <w:t>vom 5. Juli 2021 (Urk. 2) au fzuheben und die Beschwerde im Eventualantrag gutzuheissen ist .</w:t>
      </w:r>
    </w:p>
    <w:p>
      <w:r>
        <w:t>Die Beschwerdegegnerin wird nach Beizug einer externen fachärztlichen Abklärung über die Leistungspflicht im Zusammenhang mit dem Ereignis vom 1. Dezember 2020 erneut zu entscheiden haben. 5 . 5 .1</w:t>
      </w:r>
    </w:p>
    <w:p>
      <w:r>
        <w:t>Das Verfahren ist kostenlos (Art. 61 lit . f bis ATSG). 5 .2</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Prozessentschädi gung hat.</w:t>
      </w:r>
    </w:p>
    <w:p>
      <w:r>
        <w:t>Die Höhe der gerichtlich festzusetzenden Entschädigung bemisst sich nach der Bedeutung der Streitsache, der Schwierigkeit des Prozesses und dem Mass des Obsiegens, jedoch ohne Rücksicht auf den Streitwert (§ 34 Abs. 3 GSVGer ). Als weit ere Bemessungskriterien nennt § 7 der Verordnung über die Gebühren, Kosten und Entschädigungen vor dem Sozialversicherungsgericht ( GebV</w:t>
      </w:r>
    </w:p>
    <w:p>
      <w:r>
        <w:t>SVGer ) den Zeitaufwand und die Barauslagen.</w:t>
      </w:r>
    </w:p>
    <w:p>
      <w:r>
        <w:t>Unter Berücksichtigung dieser Grundsätze ist die dem Beschwerdeführer zustehende Prozessentsc hädigung beim praxisgemässen Ansatz von Fr. 220.-- (zuzüglich Mehrwertsteuer) ermessensweise auf Fr. 2’600.-- (inklusive Baraus lagen und Mehrwertsteuer) festzusetzen und ausgangsgemäss der unterliegenden Beschwerdegegnerin aufzuerlegen . Das Gericht erkennt: 1.</w:t>
      </w:r>
    </w:p>
    <w:p>
      <w:r>
        <w:t>Die Beschwerde wird in dem Sinne gutgeheissen, dass der angefochtene Einsprache entscheid vom 5. Juli 2021 aufgehoben und die Sache an die Beschwerdegegnerin zurückgewiesen wird, damit sie nach ergänzenden Abklärungen im Sinne der Erwägun gen über ihre Leistungspflicht erneut befinde. 2.</w:t>
      </w:r>
    </w:p>
    <w:p>
      <w:r>
        <w:t>Das Verfahren ist kostenlos. 3.</w:t>
      </w:r>
    </w:p>
    <w:p>
      <w:r>
        <w:t>Die Beschwerdegegnerin wird verpflichtet, dem Beschwerdeführer eine Prozessentschä digung von Fr. 2’600 .-- (inkl. Barauslagen und MWSt ) zu bezahlen. 4.</w:t>
      </w:r>
    </w:p>
    <w:p>
      <w:r>
        <w:t>Zustellung gegen Empfangsschein an: - Rechtsanwalt Mark A. Glavas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Grieder-MartensBrühwiler</w:t>
      </w:r>
    </w:p>
    <w:p>
      <w:r>
        <w:rPr>
          <w:b/>
        </w:rPr>
        <w:t>E.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