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UV.2021.00105 vom 4. Februar 2022</w:t>
      </w:r>
    </w:p>
    <w:p>
      <w:r>
        <w:t>ZH Sozialversicherungsgericht, 2022-02-04, DE</w:t>
      </w:r>
    </w:p>
    <w:p>
      <w:r>
        <w:rPr>
          <w:b/>
        </w:rPr>
        <w:t xml:space="preserve">Quelle: </w:t>
      </w:r>
      <w:r>
        <w:t>https://mcp.opencaselaw.ch/entscheid/zh_sozialversicherungsgericht_UV.2021.00105</w:t>
      </w:r>
    </w:p>
    <w:p>
      <w:r>
        <w:t>FR: ZH_SOZIALVERSICHERUNGSGERICHT UV.2021.00105 du 4 février 2022</w:t>
      </w:r>
    </w:p>
    <w:p>
      <w:r>
        <w:t>IT: ZH_SOZIALVERSICHERUNGSGERICHT UV.2021.00105 del 4 febbraio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X.___ , geboren 1977, war seit März 2002 bei der Y.___ AG als LKW-Chauffe u r in einem 100 %-Pensum angestellt und da durch bei der Schwei ze rischen Unfallver siche rungs anstalt (Suva) gegen die Fol gen von Un fäl le n ver si chert, als er am</w:t>
      </w:r>
    </w:p>
    <w:p>
      <w:r>
        <w:rPr>
          <w:b/>
        </w:rPr>
        <w:t>E. 2</w:t>
      </w:r>
    </w:p>
    <w:p>
      <w:r>
        <w:t>7. September 2017 einen Autounfall hatte und sich die linke Hand brach sowie eine Thorax-Prellung zuzog (vgl. Unfallmeldung vom 3. Ok to ber 2017, Urk. 8/3 ).</w:t>
      </w:r>
    </w:p>
    <w:p>
      <w:r>
        <w:t>Die Erstbehandlung erfolgte im Spital Z.___ in der chirur gischen Klinik, wo gestützt auf bildgebende Befunde eine Luxationsfraktur meta carpal IV und V H and links, eine Rissquetschwunde</w:t>
      </w:r>
    </w:p>
    <w:p>
      <w:r>
        <w:t>Dig IV und V Hand links sowie Reflux be schwerden diagnostiziert wurden ( Urk. 8/23) . Am Folgetag wurde der Versicherte zur operativen Versorgung in die Handchirurgie des Spitals A.___ über wiesen ( Urk. 8/15). Die Suva erbrachte in der Folge die gesetz lichen Leistungen (Heilbe handlung, Taggeld; Urk. 8/11).</w:t>
      </w:r>
    </w:p>
    <w:p>
      <w:r>
        <w:t>Gestützt auf die kreisärztliche Beurteilung vom 5. April 2019 ( Urk. 8/233) und aus gehend da von, dass dem Versicherten unter Berücksichtigung des Zumut bar keitsprofils körperlich mittelschwere Tätigkeiten - mithin auch die angestammte Tätigkeit (vgl. Urk. 8/254 , Urk. 8/260 ) - auch mit den vorhandenen Un fall folgen zumutbar seien, stellte die Suva ihre Taggeldleistungen per 1. Juli 2019 ein (vgl. Schreiben vom 18 . Juni</w:t>
      </w:r>
    </w:p>
    <w:p>
      <w:r>
        <w:t>2019 , Urk. 8/ 263 )</w:t>
      </w:r>
    </w:p>
    <w:p>
      <w:r>
        <w:t>und verneinte m it Verfü gung vom 17. Juni 2019 sowohl einen An spruch auf eine Invaliden rente der Unfall ver siche rung als auch einen Anspruch auf eine Integritäts ent schädigung (Urk. 8/256). Da gegen erhob der Versicherte u nter Beilage eines neurologischen Untersuchungs berichts von Dr. med. B.___ , Facharzt FMH für Neurologie , vom 2 4. Juli 2019 (U rk. 8/274/</w:t>
      </w:r>
    </w:p>
    <w:p>
      <w:r>
        <w:rPr>
          <w:b/>
        </w:rPr>
        <w:t>E. 10</w:t>
      </w:r>
    </w:p>
    <w:p>
      <w:r>
        <w:t>) am 1 9. August 2019 Einsprache ( Urk. 8/273). In der Folge zog die Suva ihren Entscheid zurück und nahm weitere Abklärungen vor (vgl. Schrei ben vom 18. März 2020, U rk. 8/288). Gestützt auf die ärztliche Be urteilung von Dr. med. C.___ , Facharzt für Orthopädische Chirurgie und Trauma to logie, (Urk. 8/278) verneinte die Suva m it Verfügung vom 2 3. Dezember 2020 aber mals so wohl einen Anspruch auf eine Invalidenrente der Unfall versicherung als auch einen Anspruch auf eine Integritätsentschädigung (Urk. 8/326). Die da gegen er ho be ne Ein spra che vom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