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UV.2021.00006 vom 2. März 2022</w:t>
      </w:r>
    </w:p>
    <w:p>
      <w:r>
        <w:t>ZH Sozialversicherungsgericht, 2022-03-02, DE</w:t>
      </w:r>
    </w:p>
    <w:p>
      <w:r>
        <w:rPr>
          <w:b/>
        </w:rPr>
        <w:t xml:space="preserve">Quelle: </w:t>
      </w:r>
      <w:r>
        <w:t>https://mcp.opencaselaw.ch/entscheid/zh_sozialversicherungsgericht_UV.2021.00006</w:t>
      </w:r>
    </w:p>
    <w:p>
      <w:r>
        <w:t>FR: ZH_SOZIALVERSICHERUNGSGERICHT UV.2021.00006 du 2 mars 2022</w:t>
      </w:r>
    </w:p>
    <w:p>
      <w:r>
        <w:t>IT: ZH_SOZIALVERSICHERUNGSGERICHT UV.2021.00006 del 2 marzo 2022</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Am 22. Oktober 2014 erliess die UVZ eine weitere Verfügung. Darin stellte sie fest, es sei von einem Invaliditätsgrad von 4 % auszugehen, weswegen kein Anspruch auf eine Invalidenrente bestehe. Ferner sprach die UVZ der Versicher ten eine Integritätsentschädigung in der Höhe von Fr. 6‘300.-- zu und hielt fest, bezüglich Übernahme von Heilungskosten habe sich die Versicherte künftig an ihren Krankenversicherer zu wenden (Urk. 8/G171). Gegen diese Verfügung erhob die Versicherte am 2 4. November 2014 Einsprache und beantragte, der Sachver halt sei rechtsgenüglich festzustellen (Urk. 8/G178). Diese Einsprache wies die UVZ mit Einspracheentscheid vom 1 7. Dezember 2014 ab (Urk. 8/G180). Die gegen den Einspracheentscheid erhobene Beschwerde hiess das Sozialversiche rungsgericht des Kantons Zürich mit Urteil UV.2015.00027 vom 2 3. September 2016 in dem Sinne gut, dass es den angefochtenen Entscheid aufhob und die Sache zur Vornahme weiterer Abklärungen an die UVZ zurückwies ( Urk. 8/G191).</w:t>
      </w:r>
    </w:p>
    <w:p>
      <w:r>
        <w:rPr>
          <w:b/>
        </w:rPr>
        <w:t>E. 1.2.1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 in Unfall die alleinige oder un mittelbare Ursache gesundheitlicher Störungen ist; es genügt, dass d as schädi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UV170080 Kausalzusammenhang adäquat und Gesundheitsbeeinträchtigung organisch 06.2021 Bei objektiv ausgewiesenen organischen Unfallfolgen deckt sich die adäquate, das heisst rechtserhebliche Kausalität weitgehend mit der natürlichen Kausalität; die Adäquanz hat hier gegenüber dem natürlichen Kausalzusammenhang prak tisch keine selbständige Bedeutung (Urteil des Bundesgerichts 8C_75/2016 vom 18. April 2016 E. 2.2 mit Hinweis auf BGE 134 V 109 E. 2.1).</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t>Für die Beurteilung des adäquaten Kausalzusammenhangs zwischen einem Unfall und der infolge eines Schleudertraumas der Halswirbelsäule auch nach Ablauf einer gewissen Zeit nach dem Unfall weiterbestehenden Arbeits- beziehungsweise Erwerbsunfähigkeit, die nicht auf organisch nachweisbare Funktionsausfälle zurückzuführen ist, rechtfertigt es sich, im Einzelfall analog zur Methode vorzugehen, wie sie für psychische Störungen nach einem Unfall entwickelt worden ist (vgl. BGE 123 V 98 E. 3b, 122 V 415 E. 2c, 117 V 359 E. 5d/ bb , vgl. auch 115 V 133 E. 6).</w:t>
      </w:r>
    </w:p>
    <w:p>
      <w:r>
        <w:rPr>
          <w:b/>
        </w:rPr>
        <w:t>E. 1.3</w:t>
      </w:r>
    </w:p>
    <w:p>
      <w:r>
        <w:t>Nach Art. 10 Abs. 1 UVG hat die versicherte Person Anspruch auf die zweck mässige Behandlung der Unfallfolgen, nämlich auf die ambulante Behandlung durch den Arzt, den Zahnarzt oder auf deren Anordnung durch eine medizinische Hilfsperson sowie durch den Chiropraktor und die ambulante Behandlung in einem Spital ( lit . a), die vom Arzt oder Zahnarzt verordneten Arzneimittel und Analysen ( lit . b), die Behandlung, Verpflegung und Unterkunft in der allgemeinen Abteilung eines Spitals ( lit . c), die ärztlich verordneten Nach- und Badekuren ( lit . d) und die der Heilung dienlichen Mittel und Gegenstände ( lit . e).</w:t>
      </w:r>
    </w:p>
    <w:p>
      <w:r>
        <w:rPr>
          <w:b/>
        </w:rPr>
        <w:t>E. 1.4</w:t>
      </w:r>
    </w:p>
    <w:p>
      <w:r>
        <w:t>Ist die versicherte Person infolge des Unfalles voll oder teilweise arbeitsunfähig,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 16 Abs. 1 und 2 UVG in Verbindung mit Art. 6 ATSG; BGE 137 V 199 E. 2.1, Urteil des Bundesgerichts 8C_639/2014 vom 2. Dezember 2014 E. 3), mit dem Beginn einer Rente oder mit dem Tod der versicherten Person (Art. 16 Abs. 2 UVG). Das Taggeld der Unfallversicherung wird nicht gewährt, wenn ein Anspruch auf ein Taggeld der Invalidenversiche rung oder eine Mutterschafts - oder Vaterschafts entschädigung nach dem EOG besteht (Art. 16 Abs. 3 UVG).</w:t>
      </w:r>
    </w:p>
    <w:p>
      <w:r>
        <w:rPr>
          <w:b/>
        </w:rPr>
        <w:t>E. 1.5</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rPr>
          <w:b/>
        </w:rPr>
        <w:t>E. 1.6</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rPr>
          <w:b/>
        </w:rPr>
        <w:t>E. 2</w:t>
      </w:r>
    </w:p>
    <w:p>
      <w:r>
        <w:t>ff.).</w:t>
      </w:r>
    </w:p>
    <w:p>
      <w:r>
        <w:t>In der Beschwerdeantwort vom 1 9. Januar 2021 hielt die Beschwerdegegnerin an ihren Standpunkten fest ( Urk.</w:t>
      </w:r>
    </w:p>
    <w:p>
      <w:r>
        <w:rPr>
          <w:b/>
        </w:rPr>
        <w:t>E. 2.1</w:t>
      </w:r>
    </w:p>
    <w:p>
      <w:r>
        <w:t>Im Einspracheentscheid vom 1 8. November 2020 führte die Beschwerdegegnerin zusammengefasst aus, dem MEDAS-Gutachten vom 2 7. Januar 2020 sei zu entnehmen, dass der mediz inische Endzustand bereits im Jahr 2017 eingetreten sei . Die Gutachter hätten insbesondere darauf hingewiesen, bezüglich der geklag ten Beschwerden sei von einer Chronifizierung und Therapieresistenz auszu gehen . Aus rheumatologischer Sicht liege eine funktionell leichtgradige globale Funktionseinschränkung der Halswirbelsäule (HWS) nach Frakturen der Segmente C1/2 links und des Dens vor, wobei die Frakturen vollständig konsoli diert und ausgeheilt seien. Alle übrigen somatischen Unfallfolgen seien bereits im Zeitpunkt der Begutachtung durch die Ärzte der Begutachtungsstelle H.___ im Jahr 2017 und infolgedessen auch anlässlich der MEDAS-Begutachtung nicht mehr feststellbar gewesen. Auch wenn davon ausgegangen werde, es handle sich beim HWS-Befund um eine Unfallfolge, so falle in Betracht, dass leichtgradige Funktionsbeeinträchtigungen im Bereich der HWS mit entsprechenden Nacken beschwerden rechtsprechungsgemäss kein organisches Korrelat darstell t e n , weswegen diesbezüglich die Adäquanz zu prüfen sei. Die Frakturen der Segmente C1/2 und des Dens seien nicht auf eine dem Schleudertraum a äquivalente Verletzung wie beispielsweise ein schweres Schädel-Hirntraum a zurückzuführen. Dokumentiert sei lediglich ein leichtes Schädel-Hirntrauma, dessen Folgen aber innert kurzer Zeit folgenlos abgeheilt seien. Ein für ein Schleudertrauma typisches Beschwerdebild sei sodann zu keinem Zeitpunkt dokumentiert. Der adäquate Kausalzusammenhang sei daher gestützt auf die Praxis zu prüfen, wie sie bei psychischen Beschwerden nach einem Unfall Anwendung finde. Von den in einem solchem Fall zu prüfenden Adäquanzkriterien sei kein einziges erfüllt, weswegen die Adäquanz zwischen den Nackenbeschwerden ohne somatisches Korrelat und dem Unfallereignis aus dem Jahr 2009 nicht nachgewiesen sei. Die Ein stellung der Leistungen per 9. Mai 2017 sei vor diesem Hintergrund nicht zu beanstanden. Es bestehe kein Anspruch mehr auf Heilbehandlung und ebenso wenig auf Taggeldleistungen. Des Weiteren mangle es an einer hinreichenden rechtlichen Grundlage für die Zusprechung einer Invalidenrente. Der Integritäts schaden sei ärztlicherseits nachvollziehbar mit 17,5 % bemessen worden. Ausgehend davon bestehe damit Anspruch auf eine Integritätsen tschädigung in der Höhe von Fr. 22'050.--. Beim strittigen Taggeldansatz von Fr. 39.32 sei en entgegen der Auffassung der Beschwerdeführerin beide im Unfallzeitpunkt laufenden Anstellungsverhältnisse berücksichtigt worden. Sowohl der Taggeld- als auch der Anspruch auf Heilbehandlung daure bis zum 9. Mai 2017 ( Urk.</w:t>
      </w:r>
    </w:p>
    <w:p>
      <w:r>
        <w:rPr>
          <w:b/>
        </w:rPr>
        <w:t>E. 2.2</w:t>
      </w:r>
    </w:p>
    <w:p>
      <w:r>
        <w:t>Die Beschwerdeführerin machte in der Beschwerdeschrift vom 5. Januar 2021 geltend, die Adäquanzprüfung gestützt auf die sogenannte Psycho-Praxis wider spreche den Erkenntnissen der interdisziplinären Gesamtbeurteilung im MEDAS-Gutachten. Dort sei als Diagnose mit Auswirkung auf die Arbeitsfähigkeit ein chronifiziertes posttraumatisches zervikozephales Schmerzsyndrom mit/bei muskulären Dysbalancen des Schultergürtels bei Status nach Polytrauma mit Fraktur der Massa lateralis C1 links, Densfraktur Anderson Typ III, Fazettenfrak tur C2 links, Thoraxtra uma und Lungenkontusion genannt worden. Diese Befunde an der HWS seien objektivierbar, mithin organisch ausgewiesen und bildeten unter anderem auch Anlass für die Zusprechung der Integritätsent schädigung. Angesichts des interdisziplinär formulierten Zumutbarkeitsprofil s sei ohne Weiteres ersichtlich, dass die Befunde an der HWS sich quantitativ und qualitativ auf die Arbeitsfähigkeit auswirkten. Namentlich in der ergänzenden Beurteilung vom 2 1. Juli 2020 hätten die Experten darauf hingewiesen, es liege eine deutliche Fehlstellung insbesondere im Bereich des Segments C0/C1 vor, unterstützt durch die Deviation des Dens des C2 Segments. Diese residuelle Fehlstellung sei von den Gutachtern im Zusammenhang mit der Abschätzung des Integritätsschadens analog einer Skoliose beurteilt worden. Da die Befunde im Bereich der HWS auf das Ereignis vom 6. August 2009 zurückzuführen seien, lägen objektiv ausgewiesene Unfallfolgen vor, deren Adäquanz praxisgemäss ohne Weiteres zu bejahen sei. Selbst wenn objektiv nachweisbare Unfallfolgen verneint werden sollten, wäre der adäquate Kausalzusammenhang nicht ent sprechend der Psycho- , sondern gemäss der Schleudertrauma-Praxis zu prüfen. Von den diesbezüglich massgebenden Kriterien seien genügend und in aus reichender Schwere erfüllt, so dass die Adäquanz zu bejahen sei. Bei der Taggeld nach zahlung für den Zeitraum vom 1. September 2014 bis zum 9. Mai 2017 sodann sei zum einen der gesetzlich geschuldete Verzugszins nicht verfügt worden und zum anderen sei der zu Grunde liegend Taggeldansatz in der Höhe von Fr. 39 . 32 nicht nachvollziehbar und somit nicht erstellt ( Urk. 1 S. 5 ff. Ziff. 4 ff.). 3. 3.1</w:t>
      </w:r>
    </w:p>
    <w:p>
      <w:r>
        <w:t>Zwischen den Parteien zur Hauptsache strittig ist der Anspruch auf eine Invali denrente. Konkret zu prüfen ist der Rentenanspruch für die Zeit nach dem</w:t>
      </w:r>
    </w:p>
    <w:p>
      <w:r>
        <w:rPr>
          <w:b/>
        </w:rPr>
        <w:t>E. 6</w:t>
      </w:r>
    </w:p>
    <w:p>
      <w:r>
        <w:t>S. 3 ff.).</w:t>
      </w:r>
    </w:p>
    <w:p>
      <w:r>
        <w:rPr>
          <w:b/>
        </w:rPr>
        <w:t>E. 9</w:t>
      </w:r>
    </w:p>
    <w:p>
      <w:r>
        <w:t>. Mai 2017 (vgl. vorstehende E. 3.1), mithin mehr als sieben Jahre nach dem Unfall vom 6. August 2009 (Urk. 8/G1). Der versicherte Verdienst ist nicht nur die Grundlage für die Bemessung des Rentenanspruchs, sondern auch diejenige für die Berechnung des Taggeldanspruchs ( Art. 17 UVG). Der Taggeldber echnung für die Zeit ab dem 23. August 2010 legte die Beschwerdegegnerin einen versicherten Verdienst von Fr. 44'833.-- zu Grunde (vgl. nachstehende E. 4.2). Von welchem Lohn auszu gehen ist, den die Beschwerdeführerin ohne den Unfall ein Jahr vor dem Renten beginn erzielt hätte, ist jedoch nicht ermittelt worden . Solche Abklärungen hat die Beschwerde gegnerin</w:t>
      </w:r>
    </w:p>
    <w:p>
      <w:r>
        <w:t>bislang nicht getätigt. Sodann ist aufgrund der Akten davon auszugehen, dass die Beschwerdeführerin Rentenleistungen der Invaliden versicherung bezieht. Aktenkundig ist eine Korresponde nz der Parteien betreffend eine Überentschädigungsforderung (vgl. Urk. 15/G290 ff.). Hat die versicherte Person Anspruch auf eine Rente der Invalidenversicherung , so ist zu beachten, dass nach Massgabe von Art. 20 Abs. 2 UVG eine Komplementärrente zu berechnen ist. Die gesetzeskonforme Berechnung der Invalidenrente unter Berücksichtigung der genannten Gesichtspunkte hat durch die Beschwerdegeg nerin zu erfolgen, an die die Sache zurückzuweisen ist ( § 26 Abs. 1 des Gesetzes über das Sozialversicherungsgericht; GSVGer ).</w:t>
      </w:r>
    </w:p>
    <w:p>
      <w:r>
        <w:t>4. 4.1</w:t>
      </w:r>
    </w:p>
    <w:p>
      <w:r>
        <w:t>In der Verfügung vom 1 8. September 2020 entschied die Beschwerdegegnerin, die Beschwerde führ erin habe für die Zeit vom 1. September 2014 bis und mit 9. Mai 2017 Anspruch auf die Nachzahlung von Taggeldern im Gesamtbetrag von Fr. 54'789.8 0. Die Taggeldzahlung basiert auf einer Arbeitsfähigkeit von 60 % gemäss den Feststellungen im MEDAS-Gutachten vom 2 7. Januar 2020 (vgl. Urk. 15/M69/1 S. 7) und einem Taggeldansatz in der Höhe von Fr. 39.32 ( Urk. 15/G287 S. 6). Dagegen wendet die Beschwerdeführerin ein, der Taggeld ansatz von Fr. 39.32 sei nicht nachvollziehbar und nicht erstellt ( Urk. 1 S. 9 Ziff. 9). 4.2</w:t>
      </w:r>
    </w:p>
    <w:p>
      <w:r>
        <w:t>Dem Taggeldansatz liegt der von der Beschwerdegegnerin für die Zeit ab dem 2 3. August 2010 errechnete versicherte Jahresverdienst von Fr. 44'833.-- zu Grunde. Dieser setzte sich zusammen aus de m Verdienst aus den Anstellungen beim Spital Y.___ (Beschäftigungsgrad: 70 % , Jahreslohn: Fr. 31'701.--) einerseits und dem Verdienst bei der A.___ AG andererseits (Beschäftigungsgrad: 20 % , Jahreslohn: Fr. 13'833.44). Die beiden , basierend auf diese n Einkommen gestützt auf Art. 17 UVG ermittelten Taggeldansätze von Fr. 69.50 und Fr. 28.80 e rgeben zusammen Fr. 98.30 (Urk. 8/G44a S. 3). Ab September 2014 bestand gemäss MEDAS- Gutachten, was unbestritten ist, eine Arbeitsfähigkeit von 60 % in der angestammten und auch in einer angepassten Tätigkeit ( Urk. 15/M69/1 S. 7), Mithin bestand in der betreffenden Zeitperiode eine Arbeitsunfähigkeit von 40 % . 40 % des Ansatzes für ein volles Taggeld entspricht - was die Beschwerdegegnerin korrekt berechnet hat - Fr. 39.32 (Fr. 98.30 x 0,4). 4.3</w:t>
      </w:r>
    </w:p>
    <w:p>
      <w:r>
        <w:t>Es ergibt sich, dass der der Nachzahlung zu Grunde liegende Taggeldansatz sowohl nachvollziehbar als auch erstellt ist. Die übrigen Aspekte im Zusammen hang mit der Nachzahlung hat die Beschwerdeführerin nicht bemängelt und es ergeben sich keine Anhaltspunkte, die Anlass zu einer Korrektur gäben. Nach Massgabe von Art. 26 Abs. 2 ATSG in Verbindung mit Art. 7 Abs. 1 der Verord nung über den Allgemeinen Teil des Sozialversicherungsrechts (ATSV) steht der Beschwerdeführerin für diese Nachzahlung ein Verzugszins von 5 % zu, worauf sie richtigerweise hingewiesen hat ( Urk. 2 S. 9 Ziff. 9). 5.</w:t>
      </w:r>
    </w:p>
    <w:p>
      <w:r>
        <w:t>Soweit der mit Einspracheentscheid bestätigte Entscheid der Beschwerdegegnerin gemäss Verfügung vom 1 8. September 2020 angefochten wurde - nämlich betreffend den Anspruch auf eine Invalidenrente, betreffend Taggeldansatz im Zusammenhang mit der Taggeldnachzahlung und betreffend den Verzugszins auf die Taggeldnachzahlung - ist die Beschwerde teilweise begründet. Der Beschwer deführerin steht mit Wirkung ab 1 0. Mai 2017 basierend auf einem Invaliditäts grad von 20 % eine Invalidenrente zu und die Beschwerdegegnerin hat die Taggeldnachzahlung nach Massgabe von Art. 26 Abs. 1 ATSG zu verzinsen. Im Übrigen erweist sich die Beschwerde als unbegründet. Zwecks konkreter Berech nung des Rentenanspruchs und der nachzuzahlenden Verzugszinse ist die Sache an die Beschwerdegegnerin zurückzuweisen. 6.</w:t>
      </w:r>
    </w:p>
    <w:p>
      <w:r>
        <w:t>Ausgangsgemäss hat die vertretene Beschwerdeführerin gestützt auf Art. 61 lit . g ATSG Anspruch auf eine Prozessentschädigung. Diese ist gemäss § 34 GSVGer unter Berücksichtigung der Bedeutung der Streitsache und der Schwierigkeit des Prozesses festzusetzen. Zwar liegt ein teilweises Obsiegen vor, dieses betrifft indessen den wesentlich st en Aspekt, das heisst den Rentenanspruch. Es recht fertigt sich somit, der Beschwerdeführerin gleichwohl eine ungekürzte Prozess entschädigung zuzusprechen. U nter Berücksichtigung der genannten Aspekte erweist sich eine Entschädigung von Fr. 2'700 .-- als ange messen (inkl. Mehrwert steuer und Barauslagen). Das Gericht erkennt: 1.</w:t>
      </w:r>
    </w:p>
    <w:p>
      <w:r>
        <w:t>In teilweiser Gutheissung der Beschwerde wird der Einspracheentscheid der Unfallver sicherung Stadt Zürich vom 1 8. November 2020 insofern aufgehoben, als damit der Anspruch auf eine Invalidenrente verneint und auf die Zusprechung eines Verzugszinses auf die Taggeldnachzahlung verzichtet wurde und es wird festgestellt, dass die Beschwerdeführerin für die Zeit nach dem</w:t>
      </w:r>
    </w:p>
    <w:p>
      <w:r>
        <w:t>9. Mai 2017 Anspruch auf eine Invaliden rente basierend auf einem Invaliditätsgrad von 20 % sowie Anspruch auf einen Verzugszins von 5 % auf die Taggeldnachzahlung für die Zeit vom 1. September 2014 bis 9. Mai 2017 hat. Im Übrigen wird die Beschwerde abgewiesen.</w:t>
      </w:r>
    </w:p>
    <w:p>
      <w:r>
        <w:t>Zur Berechnung der Invalidenrente und des Verzugszinses wird die Sache im Sinne der Erwägungen an die Beschwerdegegnerin zurückgewiesen. 2.</w:t>
      </w:r>
    </w:p>
    <w:p>
      <w:r>
        <w:t>Das Verfahren ist kostenlos. 3.</w:t>
      </w:r>
    </w:p>
    <w:p>
      <w:r>
        <w:t>Die Beschwerdegegnerin wird verpflichtet, der Beschwerdeführerin eine Prozessent schädigung von Fr. 2’700 .-- (inkl. Barauslagen und MWSt ) zu bezahlen. 4.</w:t>
      </w:r>
    </w:p>
    <w:p>
      <w:r>
        <w:t>Zustellung gegen Empfangsschein an: - Rechtsanwalt Dominique Chopard - Unfallversicherung Stadt Zürich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E.___ ,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