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UV.2020.00247 vom 4. Juni 2022</w:t>
      </w:r>
    </w:p>
    <w:p>
      <w:r>
        <w:t>ZH Sozialversicherungsgericht, 2022-06-04, DE</w:t>
      </w:r>
    </w:p>
    <w:p>
      <w:r>
        <w:rPr>
          <w:b/>
        </w:rPr>
        <w:t xml:space="preserve">Quelle: </w:t>
      </w:r>
      <w:r>
        <w:t>https://mcp.opencaselaw.ch/entscheid/zh_sozialversicherungsgericht_UV.2020.00247</w:t>
      </w:r>
    </w:p>
    <w:p>
      <w:r>
        <w:t>FR: ZH_SOZIALVERSICHERUNGSGERICHT UV.2020.00247 du 4 juin 2022</w:t>
      </w:r>
    </w:p>
    <w:p>
      <w:r>
        <w:t>IT: ZH_SOZIALVERSICHERUNGSGERICHT UV.2020.00247 del 4 giugno 2022</w:t>
      </w:r>
    </w:p>
    <w:p>
      <w:pPr>
        <w:pStyle w:val="Heading2"/>
      </w:pPr>
      <w:r>
        <w:t>Erwägungen</w:t>
      </w:r>
    </w:p>
    <w:p>
      <w:r>
        <w:rPr>
          <w:b/>
        </w:rPr>
        <w:t>E. 1</w:t>
      </w:r>
    </w:p>
    <w:p>
      <w:r>
        <w:t>5. Juni 2018 erfolgte die zweite neuropsychol ogische Untersuchung bei Dr. E.___ ( Urk. 9/255).</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5. Februar 2016 ereignet, weshalb die bis 31. Dezember 2016 gültig gewesenen Normen auf den vorliegenden Fall Anwendung finden und in dieser Fassung zitiert werden.</w:t>
      </w:r>
    </w:p>
    <w:p>
      <w:r>
        <w:rPr>
          <w:b/>
        </w:rPr>
        <w:t>E. 1.2</w:t>
      </w:r>
    </w:p>
    <w:p>
      <w:r>
        <w:t>Nach Art.</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w:t>
      </w:r>
    </w:p>
    <w:p>
      <w:r>
        <w:rPr>
          <w:b/>
        </w:rPr>
        <w:t>E. 1.4</w:t>
      </w:r>
    </w:p>
    <w:p>
      <w:r>
        <w:t>Invalidität ist die voraussichtlich bleibende oder längere Zeit dauernde ganze oder teilweise Erwerbsunfähigkeit (Art. 8 Abs. 1 des Bundesgesetzes über den Allgemeinen Teil des Sozialversicherungsrechts , ATSG ). Für die Bestimmung des Invaliditätsgrades wird das Erwerbseinkommen, das die ver sicherte Person nach Eintritt der unfallbedingten Invalidität und nach Durchführung allfälliger Eingliederungsmassnahmen durch eine ihr zumutbare Tätigkeit bei ausgegliche ner Arbeitsmarktlage erzielen könnte, in Beziehung gesetzt zum Erwerbsein kommen, das sie erzielen könnte, wenn sie nicht invalid geworden wäre (Art. 16 ATSG).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Nachdem sich die Versicherte im November 20 17 bei der Sozialversicherungs anstalt des Kantons Zürich, IV-Stelle, zum Bezug von Leistungen angemeldet hatte ( Urk. 9/209), richtete diese berufliche Massnahmen in Form eines Assess ments (Mitteilung vom 2 6. September 2018, Urk. 9/290), eines vom 1 0. Dezember 2018 bis 7. Juni 2019 dauernden Arbeitstrainings in der Hauswirtschaft eines Alterszentrums (Mitteilung vom 3. Dezember 2018, Urk. 9/300) sowie eines Arbeitsversuches mit Coaching als Verkäuferin in einem Bekleidungsgeschäft ( Mitteilung vom 2 8. Mai 2019, Urk. 9/326) aus . Mit Mitteilung vom 2 7. Novem ber 2019 schloss die IV-Stelle Eingliederungsmassnahmen per 3 . Dezember 2019 ab ( Urk. 9/341). Seit Dezember 2019 arbeitete die Versicherte erneut bei der A.___ AG als Reinigungsmitarbeiterin ( Urk. 9/391).</w:t>
      </w:r>
    </w:p>
    <w:p>
      <w:r>
        <w:rPr>
          <w:b/>
        </w:rPr>
        <w:t>E. 2.1</w:t>
      </w:r>
    </w:p>
    <w:p>
      <w:r>
        <w:t>Die Einstellung der Heilkosten- und Taggeldleistungen per 1. September 2020 ist vorliegend letztlich unbestritten. Wohl behauptete die Beschwerdeführerin in der Replik vom 2 6. Mai 2021 ( Urk. 14) , betreffend das rechte Schultergelenk sei der status quo sine noch nicht erreicht</w:t>
      </w:r>
    </w:p>
    <w:p>
      <w:r>
        <w:t>(S. 3 Ziffer 31), nennt indes konkret keine notwendige n medizinische n Massnahmen, die eine wesentliche Verbesserung versprechen würden . So geht auch aus dem Medas -Gutachten vom 5. Oktober 2020 hervor, dass aus interdisziplinärer Sicht keine therapeutischen Optionen bestehen, von welchen die Mediziner eine Besserung des Beschwerdebildes oder eine höhere Arbeitsfähigkeit erwarten ( Urk. 9/424/25 ) und erkannte der rheuma tologische Gutachter insbesondere hinsichtlich der Claviculafraktur unverändert ossär konsolidierte Verhältnisse ( Urk. 9/424/34) ohne therapeutischen Bedarf ( Urk. 9/424/38).</w:t>
      </w:r>
    </w:p>
    <w:p>
      <w:r>
        <w:rPr>
          <w:b/>
        </w:rPr>
        <w:t>E. 2.2</w:t>
      </w:r>
    </w:p>
    <w:p>
      <w:r>
        <w:t>Einig sind sich die Parteien nunmehr auch darin, dass der Beschwerdeführerin eine Integritätsentschädigung basierend auf einer Einbusse von insgesamt 35 % zusteht. Die übereinstimmenden Parteianträge geben aufgrund der vorliegenden Akten, insbesondere des im Rahmen der MEDAS-Begutachtung erstellte n neuropsychologische n Teilgutachten s vom 5. Oktober 2020 ( Urk. 9/424), kein en Anlass zu Weiterungen. Damit ist der Einspracheentscheid vom 2 9. September 2020 hinsichtlich der Höhe der Integritätsentschädigung aufzuheben und der Beschwerdeführerin eine solche gestützt auf eine Integritätseinbusse von 35 % zuzusprechen . Strittig und zu prüfen bleibt der am 1. September 2020 entstan dene Rentenanspruch in masslicher Hinsicht bzw. die der Rente zugrundzu legende Erwerbsunfähigkeit. 3.</w:t>
      </w:r>
    </w:p>
    <w:p>
      <w:r>
        <w:rPr>
          <w:b/>
        </w:rPr>
        <w:t>E. 3</w:t>
      </w:r>
    </w:p>
    <w:p>
      <w:r>
        <w:t>Mittlerweile hatte die Suva am 4. Februar 2019 die Einstellung der Leistungen betreffend Schulterbeschwerden rechts per 2 6. Januar 2018 verfügt ( Urk. 9/305) , hob diese Verfügung jedoch auf Einsprache hin ( Urk. 9/9/312) mit Schreiben vom 3. April 2019 wieder auf ( Urk. 9/317) . Gestützt auf die Akten hielt</w:t>
      </w:r>
    </w:p>
    <w:p>
      <w:r>
        <w:t>Dr. G.___ am 7. Januar 2020 im Hinblick auf d en Fallabschluss eine ne uropsychologische Abschlussu ntersuchung für notwendig ( Urk. 9 /356), welche am 2 1. April 2020 in der Rehaklinik H.___ durch Dr. phil. I.___ , Fachpsychologe für Neuropsychologie F SP, durchgeführt wurde ( Urk. 9/371). Gestützt da rauf beurteilte Dr. G.___ die Arbeits- und Leistungsfähigkeit der Versicherten ( Urk. 9/378) und schätzte die Integritätseinbusse aufgrund der verbliebenen kognitiven Störung auf 20 % ( Urk. 9/380). Daraufhin holte die Suva bei den (ehemaligen) Arbeitgeberinnen der Versicherten Auskünfte über die Lohnent wi cklung ein ( Urk. 9/388, Urk. 9/3 89). Mit Verfügung vom 3 0. Juli 2020 sprach sie X.___ mit Wirkung ab 1. September 20 20 eine Rente gestützt auf eine Erwerbseinbusse von 29 % sowie eine Integritätsentschädigu ng im Ausmass einer 20%igen Einb usse zu ( Urk. 9/406). Die dagegen erhobene Einsprache vom 1 0. September 2020 mit dem Begehren um eine höhere Rente sowie eine höhere Integr itätsentschädigung ( Urk. 9/412) wies die Suva mit Entscheid vom 2 9. Sep tember 2020 ab ( Urk. 9/414 = Urk. 2).</w:t>
      </w:r>
    </w:p>
    <w:p>
      <w:r>
        <w:rPr>
          <w:b/>
        </w:rPr>
        <w:t>E. 3.1</w:t>
      </w:r>
    </w:p>
    <w:p>
      <w:r>
        <w:t>Dr. G.___ kam in ihrer abschliessenden Beurteilung vom 5. Mai 2020 ( Urk. 9/378) gestützt auf die Ergebnisse der in der Rehaklinik H.___</w:t>
      </w:r>
    </w:p>
    <w:p>
      <w:r>
        <w:t>durchgeführten neuropsychologischen Testungen ( Urk. 9/371) zum Schluss, dass noch leichte kognitive Störungen mit Beeinträchtigungen im Aufmerksam keits bereich und eine gemäss Angaben der Beschwerdeführerin reduzierte Belastbarkeit vorliegen, die überwiegend wahrscheinlich auf die traumatische Hirnverletzung zurückzu führen sind. Die Tätigkeit als Verkäuferin sei der Beschwerdeführerin grundsätz lich ganztags zumutbar , ebenso wie auch eine Arbeit als Reinigungskraft. Einschränkungen könnten bei Arbeiten unter Leistungs- oder Zeitdruck entstehen. In e ine r Tätigkeit in einem Bereich, in dem Zeit- und Leistungsdruck selten seien bzw. nur eine untergeordnete Rolle spielten, wäre ein vollumfäng licher Einsatz wieder denkbar . Bei einer Tätigkeit mit entsprechendem Zeit- und Leistungsdruck halte sie eine zeitliche Reduktion des Arbeitspensums von 30 % , überwiegend wahrscheinlich infolge der unfallbedingten kognitiven Einschrän kungen , für erklärbar.</w:t>
      </w:r>
    </w:p>
    <w:p>
      <w:r>
        <w:rPr>
          <w:b/>
        </w:rPr>
        <w:t>E. 3.2</w:t>
      </w:r>
    </w:p>
    <w:p>
      <w:r>
        <w:t>Die J.___ AG erstattete nach Erlass des Einspracheentscheids das von der IV-Stelle in Auftrag gegebenen polydisziplinäre Gutachten vom 5. Oktober 2020, welches auf fachärztlichen Untersuchungen im August 2020 beruhte ( Urk. 9/424 /16 ff.). In der interdisziplinären Gesamtbeurteilung hielten die Gutachter fest, dass sich aus allgemein-internistischer und psychiatrischer Sicht keine Diagnosen mit Einfluss auf die Arbeitsfähigkeit finden liesse n . Aus rheumatologischer Sich t bestünden eine Perioarthropathia</w:t>
      </w:r>
    </w:p>
    <w:p>
      <w:r>
        <w:t>humeroscapularis</w:t>
      </w:r>
    </w:p>
    <w:p>
      <w:r>
        <w:t>tendinotica rechts vom Supraspinatustyp mit (akten-)anamnestischem subacro mialem</w:t>
      </w:r>
    </w:p>
    <w:p>
      <w:r>
        <w:t>Impingement und leichter b is moderater Tendinopathie der Supraspi natussehne mit Verdacht auf eine gelenkseitige Partialruptur ( Arthro -MRI Schulter rechts 15.11.2016), ein Zustand nach Impression der ossären Ansätze des radialen Seitenbandes MCP I links (Erstdiagnose November 20 17), nach konservativer Therapie einer nach anterior dislozierten Mehrfragmentfraktur</w:t>
      </w:r>
    </w:p>
    <w:p>
      <w:r>
        <w:t>des medialen Claviculadrittels rechts vom 2 5. Februar 2016 sowie eine lang-/tiefge zogene thorakale Hyperkyphose mit rechtsbetonter Scapula</w:t>
      </w:r>
    </w:p>
    <w:p>
      <w:r>
        <w:t>alata und Haltungs insuffizienz. Dadurch bestünden qualitative Einschränkungen der Arbeitsfähig keit: Aufgrund der von der Beschwerdeführerin beklagten chronisch persistieren den Schulterbeschwerden rechts sei das Heben/Trage n schwerer Lasten mit der rechten oberen Extremität über Hüfthöhe zu vermeiden. Die anamnestisch chronischen Schmerzen im MCP I links führten zu einer Einschränkung der körperlichen Leistungsfähigkeit bezüglich kraftanfordernder manueller Tätig keiten links. In der von der Beschwerdeführerin zuletzt ausgeübten Tätigkeit als stellvertretende Leiterin eines Tankstellenshops, bei welcher es sich gemäss IV-Akten um eine körperlich leichte Tätigkeit gehandelt habe, in der im Nebenerwerb ausgeübten Tätigkeit als Raumpflegerin sowie in körperlich leichten bis mittel schweren beruflichen Tätigkeiten ohne Heben/Tragen schwerer Lasten mit der r echten oberen Extremität über Hü fthöhe und ohne kraftanfordernde manuelle Tätigkeiten links bestehe aus rheumatologischer Sicht eine 100%ige Arbeits fähigkeit. Aus neurologischer Sicht werde eine leicht- bis mittelgradige neuropsy chologische Störung nach leichter traumatischer Hirnverletzung vom 2 5. Februar 2016 mit nicht dislozierter Orbitadachfraktur rechts und Rissquetschwunde supraorbital rechts sowie kernsp intomographischem Nachweis von H ämosiderin ablagerungen im Gyrus</w:t>
      </w:r>
    </w:p>
    <w:p>
      <w:r>
        <w:t>frontalis</w:t>
      </w:r>
    </w:p>
    <w:p>
      <w:r>
        <w:t>superior r echts und im Gyrus</w:t>
      </w:r>
    </w:p>
    <w:p>
      <w:r>
        <w:t>frontalis inf erior rechts (MRI Neurocranium 24.02.17) diagnostiziert. Es bestünden vordergründig Defizite im Aufmerksamkeitsbereich, in der konzentrativen Belastbarkeit, der Dauerauf merksamkeit sowie im mnestischen Bereich. Aufgrund der neuropsycho logisch objektivierten leichten bis mässiggradigen neuropsychologischen Störung werde aus neurologischer Sicht von einer Arbeitsfähigkeit von 0 % in der von der Beschwerdeführerin zuletzt ausgeübten beruflichen Tätigkeit als stellvertre tende Leiterin eines Tankstellenshops mit Arbeiten unter Zeitdruck ausgegangen. Die Tätigkeit als «selbständig erwerbstätige» Raumpflegerin werde aus neurolo gischer Sicht als leidensangepasst eingestuft. Als leidensadaptierte Tätigkeiten würden Arbeiten ohne Akkordarbeit (kein enges Zeitlimit und kein Zeitdruck), ohne erforderliches Erlernen komplizierter Abläufe, mit wenig Anspruch an eine längerfristige Konzentrationsfähigkeit und ohne jegliche Art von Druck, in reizarmer Umgebung und ohne Ansprüche an eine schnelle und flexible Anpassungsleistung definiert. Zudem sollte bei einem vollschichtigen Arbeits pensum die Möglichkeit individuell angepasster Pausen gegeben sein. Ohne Einfluss auf die Arbeitsfähigkeit sei die Hypästhesie im Versorgungsgebiet des N. supraorbitalis rechts bei Verdacht auf eine traumatische Durchtrennung von Ästen des N. supraorbitals rechts nach leichter traumatischer Hirnverletzung mit nicht dislozierter Orbitafraktur rechts und supraorbitaler Rissquetschwunde rechts vom 2 5. Februar 2016 sowie ein anhaltender Kopfschmerz nach traumatischer Verletzung des Kopfes.</w:t>
      </w:r>
    </w:p>
    <w:p>
      <w:r>
        <w:t>Aus interdisziplinärer Sicht attestierten die Gutachter eine 100%ige Arbeitsun fähigkeit in der von der Versicherten zuletzt ausgeübten Tätigkeit als stellvertre tende Leiterin eines Tankstellenshops ab dem Zeitpunkt des Unfallereignisses vom 2 5. Februar 201 6. In der aktuell ausgeübten Tätigkeit als Raumpflegerin sowie in anderen körperlich leichten bis mittelschweren beruflichen Tätigkeiten ohne Heben/Tragen schwerer Lasten mit der rechten oberen Extremität über Hüfthöhe, ohne kraftanforde rnde manuelle Tätigkeiten links, ohne Akkordarbeit, ohne erforderliches Erlernen komplizierter Abläufe, mit wenig Anspruch an eine längerfristige Konzentrationsfähigkeit, ohne jegliche Art Druck, in reizarmer Umgebung und ohne Ansprüche an schnelle und flexible Anpassungsleistungen sei die Beschwerdeführerin arbeitsfähig. Bei einem vollschichtigen Arbeitspensum sollte die Möglichkeit individuell angepasster Pausen gegeben sein ( Urk. 9/424/22).</w:t>
      </w:r>
    </w:p>
    <w:p>
      <w:r>
        <w:rPr>
          <w:b/>
        </w:rPr>
        <w:t>E. 3.3</w:t>
      </w:r>
    </w:p>
    <w:p>
      <w:r>
        <w:t>Auf Nachfrage der IV-Stelle hin präzisierten der federführende J.___ -Gutachter sowie die Fachgutachterin für Neurologie in ihrer Stellungnahme vom 1 9. Oktober 2020 ( Urk. 9/20) Folgendes: Der erhöhte Pausenbedarf in einer leidensangepassten Tätigkeit würden sie mit 10 Minuten nach jeweils zirka einer Stunde bemessen. Aus neurologischer Sicht gingen sie - wie von der IV-Stelle ausgeführt - von einer Leistungsminderung von 15-20 % in einer angepassten Tätigkeit aus. Diese Einschränkung könne seit der traumatischen Hirnverletzung am 2 5. Februar 2016 angenommen werden. Weiterhin bestätigten sie eine vollständige Arbeitsunfähigkeit als Tankstellenshopleiterin und eine vollständige A rbeitsfähigkeit in der aktuell ausgeübten Tätigkeit als Raumpflegerin. In anderen - näher ausgeführten - angepassten beruflichen Tätigkeiten sei von einer um 15-20 % geminderten Arbeitsfähigkeit auszugehen, bedingt durch die Not wendigkeit gehäufter und über das betriebsübliche Mass hinausgehender Pausen. 4 .</w:t>
      </w:r>
    </w:p>
    <w:p>
      <w:r>
        <w:rPr>
          <w:b/>
        </w:rPr>
        <w:t>E. 4</w:t>
      </w:r>
    </w:p>
    <w:p>
      <w:r>
        <w:t>Die IV-Stelle ihrerseits sprach X.___ gestützt auf das von ihr einge holte polydisziplinäre Gutachten der J.___ AG (MEDAS-Gutachten) vom 5. Oktober 2020 ( Urk. 9/424) ab 1. Dezember 2019 gestützt auf einen Invalidi tätsgrad von 40 % eine Viertelsrente der Invalidenversicherung zu (Verfügung en vom 2 0. April und 1 0. Mai 2021 , vgl. Urk. 13) . Die dagegen erhobene Beschwerde ist Gegenstand des Verfahrens IV.2021.00346 und wir d mit Urteil heutigen Datums abgewiesen.</w:t>
      </w:r>
    </w:p>
    <w:p>
      <w:r>
        <w:rPr>
          <w:b/>
        </w:rPr>
        <w:t>E. 4.1</w:t>
      </w:r>
    </w:p>
    <w:p>
      <w:r>
        <w:t>Auftragsgemäss gaben die J.___ -Gutachter keine Kausalitätsbeurteilungen ab. Die Beschwerdegegnerin anerkannte gestützt auf die kreisärztliche Beurtei lung (E. 3.1) als objektivierbare Unfallfolgen die residuellen kognitiven Defi zite, den Status nach leicht dislozierter Fraktur des medialen Klavikuladrittels rechts und eine kleinste Impression im lateralen Bereich der Basis der Grundphalanx des rechten Daumens. Hinsichtlich des rechten Schultergelenkes lägen keine un f all bedingten Leistungseinschränku ngen (mehr) vor ( Urk. 8 S. 4). Jedoch a uch unter Berücksichtigung der Zumutbarkeitsbeurteilung im interdisziplinären G utachten sei die Ausübung einer den Behinderung en angepassten Tätigkeit im Ausmass von jedenfalls 82,5 % zumutbar ( Urk. 8 S. 5 in Verbindung mit Urk. 19).</w:t>
      </w:r>
    </w:p>
    <w:p>
      <w:r>
        <w:rPr>
          <w:b/>
        </w:rPr>
        <w:t>E. 4.2</w:t>
      </w:r>
    </w:p>
    <w:p>
      <w:r>
        <w:t>Die Beschwerdeführerin wandte replicando ein ( Urk. 14), der (durch die IV initierte ) Arbeitsversuch habe gezeigt, dass selbst bei R ücksichtnahme und genügende n Pausen eine hohe qualitative Einschränkung bereits nach vier Stunden Präsenzzeit eintrete (S. 3 Ziff. 27) . Die qualitative Leistungseinbusse könne nur durch eine Evaluation der f unktionellen Leistungsfähigkeit (EFL)</w:t>
      </w:r>
    </w:p>
    <w:p>
      <w:r>
        <w:t>und einzig im Rahmen eines stationären Aufenthaltes</w:t>
      </w:r>
    </w:p>
    <w:p>
      <w:r>
        <w:t>ermittelt werden (S. 4 Ziff. 34 und 36 , S. 5 Ziff. 39 ) .</w:t>
      </w:r>
    </w:p>
    <w:p>
      <w:r>
        <w:rPr>
          <w:b/>
        </w:rPr>
        <w:t>E. 4.3</w:t>
      </w:r>
    </w:p>
    <w:p>
      <w:r>
        <w:t>A ngesichts der beweiskräftigen und umfassenden polydisziplinären Expertise und mehrfacher neuropsychologischer Begutachtungen sowie</w:t>
      </w:r>
    </w:p>
    <w:p>
      <w:r>
        <w:t>hinsichtlich Befundung im Wesentlichen übereinstimmender versicherungsinterner Stellungnahme besteht kein weiterer medizinischer Abklärungsbedarf. Insbesondere konnten die Gutachter aus rheumatologischer Sicht keine quantitativen Einschränkungen feststellen und besteht</w:t>
      </w:r>
    </w:p>
    <w:p>
      <w:r>
        <w:t>hinsichtlich der eingeschätzten Leistungseinbusse aus neurologisch/neuropsychologischer Sicht - wie die Beschwerdegegnerin zutreffend ausführt e und worauf zu verweisen ist ( Urk. 19 S. 2) - keine Notwen digkeit , das Zumutbarkeitsprofil im Rahmen einer EFL abzuklären, wobei die Beschwerdeführerin einen solchen Bedarf nicht darzulegen vermag ( Urk. 14, Urk. 25). Ferner ist darauf hinzuweisen, dass die J.___ -Gutachter Einsicht in die Berichte zu den beruflichen Abklärungen der Invalidenversicherung hatten ( Urk. 9/424/70 f.) und zu den Diskrepanzen, insbesondere der Selbsteinschätzung, Stellung nahmen ( Urk. 9/424/ 36 f.). Der Beschwerdeantrag auf weitere medizi nische Abklärungen hinsichtlich der Arbeitsfähigkeit in quantitativer wie qualitativer Hinsicht ist daher nicht zu hören . Mit der interdisziplinären Einschät zung der J.___ -Gutachter ist davon auszugehen, dass der Beschwerde führerin eine leichte bis mittelschwere, (näher ausgeführte) angepasste Tätigkeit in einem vollschichtigen Arbeitspensum zumutbar ist, wobei der Notwendigkeit, vermehrt Pausen einzulegen, mit einer quantitativen Einbusse von gemittet 17,5 %</w:t>
      </w:r>
    </w:p>
    <w:p>
      <w:r>
        <w:t>(vgl. hierzu: Urteil des Bundesgerichts 8C_696/2010 vom 5. Juli 2011 E. 4.3.3 mit Hinweisen) Rechnung zu tragen ist. Zu prüfen bleiben die erwerblichen Auswirkungen. 5 .</w:t>
      </w:r>
    </w:p>
    <w:p>
      <w:r>
        <w:rPr>
          <w:b/>
        </w:rPr>
        <w:t>E. 5</w:t>
      </w:r>
    </w:p>
    <w:p>
      <w:r>
        <w:t>Gegen den Einspracheentscheid vom 2 9. September 2020 erhob X.___ am 2. November 2020 Beschwerde mit dem sinngemässen Rechts begehren, es sei ihr in Aufhebung des angefochtenen Entscheids eine höhere Rente und höhere Integritätsentschädigung zuzusprechen. Die noch zumutbare Arbeitsleistung und die Höhe des Integritätsschadens seien durch eine externe medizinische Expertise zu klären; hierfür sei die Sache an die Vorinstanz zurück zuweisen oder ein Gerichtsgutachten anzuordnen ( Urk. 1).</w:t>
      </w:r>
    </w:p>
    <w:p>
      <w:r>
        <w:t>Mit Beschwerdeant wort vom 1. März 2021 beantragte die Suva, die Beschwerde sei insofern teilweise gutzuheissen, als die Beschwerdeführerin Anspruch auf eine IV-Rente von insge samt 33 % und Anspruch auf eine Integritätsentschädigung von insgesamt 35 % habe. Im Übrigen sei die Beschwerde abzuweisen ( Urk. 8). In der Folge ordnete das Gericht einen zweiten Schriftenwechsel an ( Urk. 10). Replicando hielt die Beschwerdeführerin am Antrag auf eine höhere Rente fest; hinsichtlich der Integritätsentschädigung erklärte sie sich mit dem Wert von 35 % einverstanden ( Urk. 14). Mit Duplik vom 2. September 2021 änderte die Beschwerdegegnerin ihr Rechtsbegehren dahingehend, dass die Beschwerde insofern teilweise gutzu heissen sei, als die Beschwerdeführerin Anspruch auf eine IV-Rente von insgesamt 38 % und Anspruch auf eine Integritätsentschädigung von insgesamt 35 % habe; im Übrigen sei die Beschwerde abzuweisen ( Urk. 19). Mit dieser Rechtsschrift legte sie das Antwortschreiben der J.___ -Gutachter vom 1 9. Oktober 2020 zu Rückfragen der IV-Stelle auf ( Urk. 20). Die Beschwerdefüh rerin nahm zu diesen Eingaben am 9. November 2021 Stellung und legte dar, dass bei korrekter Invaliditätsbemessung ein Invaliditätsgrad von 50 % ausge wiesen sei, mindestens jedoch von 43 % . Hinsichtlich akzeptierter Höhe der Integritätsentschädigung von 35 % könne die Beschwerde als gutgeheissen betrachtet werden ( Urk. 25) . Dies wurde der Beschwerdegegnerin zur Kenntnis gebracht ( Urk. 26).</w:t>
      </w:r>
    </w:p>
    <w:p>
      <w:r>
        <w:rPr>
          <w:b/>
        </w:rPr>
        <w:t>E. 5.1</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 scheinlichkeit erstellt sein (BGE 139 V 28 E. 3.3.2; 135 V 58 E. 3.1; 134 V 322 E. 4.1 mit Hinweis). 5 .2</w:t>
      </w:r>
    </w:p>
    <w:p>
      <w:r>
        <w:t>Die Beschwerdegegnerin bemass das Valideneinkommen</w:t>
      </w:r>
    </w:p>
    <w:p>
      <w:r>
        <w:t>im Einspracheentscheid</w:t>
      </w:r>
    </w:p>
    <w:p>
      <w:r>
        <w:t>mit Fr. 78 '420.-- ( Urk. 2 S. 7 f.). Hierbei stützte sie sich auf die Angaben beider Arbeitgeber zur mutmasslichen Lohnentwicklung ( Urk. 9/388 f.). Die Z.___ GmbH bezifferte den im Jahr 2020 mutmasslich erzielte n Monatslo hn mit Fr. 4'500.--, wobei ein Eintrag unter der Rubrik 1 3. Monatslohn fehlt , und beantwortete die Frage nach Kinderzulagen mit: «kann ich nicht sagen» ( Urk. 9/389/3-4). Die A.___ AG gab am 2 9. Juni 2020 an, die Beschwerdeführerin würde ab 1. Januar 2020 Fr. 1'660.-- monatlich verdienen ( Urk. 9/388/3-4). Hieraus errechnete die Beschwerdegegnerin ein mutmassliches Jahreseinkommen 2020 von Fr. 78'420.-- (13 x Fr. 4'500.-- + 12 x Fr. 1'660.--).</w:t>
      </w:r>
    </w:p>
    <w:p>
      <w:r>
        <w:t>Mit Duplik vom 2. September 2021 ( Urk. 19) führte die Beschwerdegegnerin aus, dass hinsichtlich des hauptberuflichen Einkommens korrekterweise von einem mutmasslichen Jahreseinkommen 2020 von Fr. 54'000.-- ( Fr. 4'500.-- x 12) auszugehen sei , was zu einem als Valideneinkommen heranzuziehender Wert von summiert mit dem Nebeneinkommen Fr. 73'920.-- führte.</w:t>
      </w:r>
    </w:p>
    <w:p>
      <w:r>
        <w:t>Dem entgegnete die Beschwerdeführerin, dass infolge des im Jahre 2018 in Kraft getretenen Gesamtarbeitsvertrags Tankstellenshop, welcher nebst mehr Ferien, weniger Stunden und einem Zuschlag für Sonntagsarbeiten einen 1 3. Monats lohn vorschreibe eher von einer Lohnerhöhung zumindest im Rahmen des Lohn indexes 2016 bis 2020 auszugehen sei ( Urk. 25 S. 4). 5 .3</w:t>
      </w:r>
    </w:p>
    <w:p>
      <w:r>
        <w:t>Die Angaben der Z.___ GmbH ( Urk. 9/389) hinsichtlich der konkreten Lohnent wicklung bis ins Jahr 2020 sowie des Anspruchs auf einen 1 3. Monatslohn sind unmissverständlich . Hinsichtlich letzteres lässt sich den Lohnabrechnungen Januar bis Dezember 2016 jedoch entnehmen, dass per 3 1. Dezember 2016 ein 1 3. Monatslohn in Höhe von Fr. 4'5 00.-- ( Urk. 9/125/3-14) und im Jahre 2015 eine Gratifikation von Fr. 3'296.15 ( Urk. 9/ 125/15) ausgerichtet wurde . Ein Abgleich mit den Eintragungen im individuellen K onto (IK) der Beschwerdefüh rerin ( Urk. 9/286) zeigt, dass die Z.___ GmbH im Jahre 2014 einen Jahreslohn von F r. 53'749.-- und</w:t>
      </w:r>
    </w:p>
    <w:p>
      <w:r>
        <w:t>im Jahre 2015 einen solchen von Fr. 57'296.-- abrechnete . Der mit B undesratsb eschluss vom 6. Dezember 2017 allgemeinverbindlich erklärte Gesamtarbeitsvertrag Tankstellenshops in der Schweiz (GAV Tank stellenshops) , in Kraft getreten am 1. Februar 2018 und zuletzt am 1 8. November 2021 mit Wirkung ab 1. Januar 2022 verlängert , sieht in Ziffer 7 eine wöchent liche Normalarbeitszeit von 42 Stunden bei einem Vollpensum und unter Ziffer 18 einen Anspruch auf den 1 3. Monatslohn vor. In Anhang 2 , worauf in der allgemeinverbindlich erklärten Ziffer 17 des GAV verwiesen wird, ergeben sich für das Gebiet des Kantons Zürich Mindestlöhne von zwischen Fr. 3'700.-- (ohne Berufslehre) und Fr. 4'100.-- (mit dreijähriger Berufslehre). Daraus erhellt, dass der von der Arbeitgeberin angegebene Monatslohn für das Jahr 2020 von Fr. 4'500.-- bei einer von 44 Wochenstunden ( Urk. 9/1/1) auf 42 reduzierten Normalarbeitszeit den allgemeinverbindlich erklärten Tarifen des GAV nicht entgegensteht. Auf die Angabe, wonach der Beschwerdeführerin im Jahr 2020 einen monatlichen Lohn von Fr. 4'500.-- ausgerichtet worden wäre, ist daher abzustellen; dies entgegen den Vorbringen der Beschwerdeführerin ohne Aufrechnung der durchschnittlichen Nominallohnerhöhungen oder einer nicht ausgewiesenen Lohnverbesserung durch den GAV . J edoch ist ihr ein Anspruch auf einen 1 3. Monatslohn anzurechnen , hat sie einen solchen doch effektiv im Jahre 2016 und jedenfalls teilweise im Jahr 2015 realisiert. Somit erweist sich das im Einspracheentscheid vom 2 9. September 2020 bemessene Valideneinkommen von Fr. 78'420.-- als korrekt. 6 . 6 .1 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Liegt kein anrechenbares Erwerbseinkommen vor, so können f ür die Bestimmung des Invalideneinkommens nach der Rechtsprechung Tabellenlöhne gemäss den vom Bundesamt für Statistik periodisch herausgegebenen Lohnstrukturerhebun gen (LSE) herangezogen werden (BGE 139 V 592 E. 2.3, 135 V 297 E. 5 .2, 129 V 472 E. 4.2.1 ). Dabei sind grundsätzlich die im Verfügungszeitpunkt aktuellsten veröffentlichten Tabellen der LSE zu verwenden (BGE 143 V 295 E. 4.1.3 ).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6 .2</w:t>
      </w:r>
    </w:p>
    <w:p>
      <w:r>
        <w:t>Im Einspracheentscheid vom 2 9. September 2020 wird das Inv alideneinkommen mit Fr. 55'669 .90 beziffert, ausgehend von der vom Bundesamt für Statistik herausgegebenen Lohnstrukturerhebung (LSE) 2018 , Tabelle TA1, Position Total, Kompetenzniveau 1, Frauen, und einer betriebsüblichen wöchentlichen Arbeits zeit von 41,7 Wochenstunden sowie Nominallohnerhöhungen von je 0 ,9 % bis ins Jahr 2020 ( Urk. 2 S.</w:t>
      </w:r>
    </w:p>
    <w:p>
      <w:r>
        <w:t>7). In ihrer Stellungnahme vom 9. November 2021 ( Urk. 25) führte die Beschwerdegegnerin aus, aufgrund des gutachterlich postulierten, erhöhten Pausenbedarfs von 10 Minuten nach jeder Stunde wäre eigentlich eine verminderte Arbeitszeit von lediglich 15 % zu berücksichtigen, wobei mit der pauschalen Einschätzung der J.___ -Gutachten von einer geminderten Arbeitsfähigkeit von gemittet 82,5 % ausgegangen werden könne. Jedenfalls lasse die Beachtung des Pausenbedarfs durch eine</w:t>
      </w:r>
    </w:p>
    <w:p>
      <w:r>
        <w:t>Reduktion des zumutbaren Arbeitspensums auf 82,5 % eines Vollpensums einen zusätzlichen Abzug vom Tabellenlohn nicht (mehr) zu (vgl. hierzu noch die Ausführungen in der Beschwerdeantwort vom 1. März 2021, Urk. 8 S. 5 f. , wo noch von einem vollzeitlichen Pensum ausgegangen worden war ).</w:t>
      </w:r>
    </w:p>
    <w:p>
      <w:r>
        <w:t>Dem hält d ie Beschwerdeführerin entgegen ( Urk. 14),</w:t>
      </w:r>
    </w:p>
    <w:p>
      <w:r>
        <w:t>d ie Einschränkungen in einer angepassten Tätigkeit seien so weit gefasst, dass eine solche Stelle auf dem ersten Arbeitsmarkt nicht oder nur schwer anzutreffen sei; das Profil entspreche einer geschützten Arbeitsstelle (S. 4 Ziff. 34) . Der qualitativen Einschränkung bei längerdauernden Tätigkeiten könnte im Rahmen eines erhöhten Leidensabzuges Rechnung getragen werden (S. 4 Ziff. 36). 6 .3</w:t>
      </w:r>
    </w:p>
    <w:p>
      <w:r>
        <w:t>Da die Beschwerdeführerin mit ihrer weiterhin ausgeübten Nebenerwerbstätigkeit als Reinigungsfrau die ihr medizinisch-theoretische Arbeitsfähigkeit nicht voll verwertet, ist das Invalideneinkommen gestützt auf die statistischen Werte zu bemessen. Wie die Beschwerdegegnerin zutreffend ausführte, wurde dabei dem erhöhten Bedarf an Pausen mit einer Arbeitsunfähigkeit von gemittet 17,5 %</w:t>
      </w:r>
    </w:p>
    <w:p>
      <w:r>
        <w:t>aus medizinischer Sicht grosszügig Rechnung getragen. Das Anforderungsprofil an eine leichte bis mittelschwere Tätigkeit (vgl. E. 3.2) erweist sich als nicht derart eingeschränkt, dass der Beschwerdeführerin mit ihrer beruflichen Erfahrung keine Arbeitsstelle mehr offenstünde oder nur mit aussergewöhnlichem Entgegen kommen eines Arbeitgebers , das sich lohnmindernd auswirken würde . Immerhin ist die Beschwerdeführerin auch in ihrem nebenerwerblich ausgeübten Beruf als Reinigungsfachfrau gemäss rheumatologischer Einschätzung grundsätzlich vollzeitlich arbeitsfähig. Von einem höchstens noch im Rahmen einer geschützten Arbeitsstelle möglichen Einsatz kann daher keine Rede sein. Der Arbeitsversuch als Verkäuferin in einem Kleidergeschäft scheiterte nach Auskunft der Berufsbe raterin an den Schwierigkeiten im Kundenkontakt bei zu hohen eigenen Erwartungen und an der Hektik, wobei die Rückmeldungen der Arbeitgeberin positiv waren ( Urk. 9/328 f. ) .</w:t>
      </w:r>
    </w:p>
    <w:p>
      <w:r>
        <w:t>Es ist daher nicht davon auszugehen, dass mit einer weiteren Lohneinbusse gerechnet werden muss, die über die infolge Notwendig keit zu vermehrten Pausen berücksichtigte Arbeitsunfähigkeit von 17,5 %</w:t>
      </w:r>
    </w:p>
    <w:p>
      <w:r>
        <w:t>hinausgeht . Umstände, die einen Abzug vom Tabellenlohn rechtfer tigen würden, liegen nicht vor.</w:t>
      </w:r>
    </w:p>
    <w:p>
      <w:r>
        <w:t>Gemäss der am 2 1. April 2020 vom Bundesamt für Statistik publizierten LSE 2018 , Tabelle TA1_tirage_skill_level, betrug der standardisierte Zentralwert für Frauen im Kompetenzniveau 1 Fr. 4 ’ 371.-- monatlich, was hochgerechnet auf die durchschnittliche betriebsübliche Arbeitszeit 2 020 von 41, 7 Wochenstunden und der Nominallohnentwicklung bis in s Jahr 2020, Index Frauen, (2018 : 2 ’ 7 32 Punkte; 2020: 2 ’ 784 Punkte) einen Wert von Fr. 55'722 .-- ergibt , der reduziert u m 17,5 % , das sind Fr. 45'970.65 , als Invalideneinkommen heranzuziehen ist. Aus der Gegenüberstellung mit dem Valideneinkommen von Fr. 78'420.-- ergibt sich eine Einbusse von Fr. 32'449.35 bzw . ein Invaliditätsgrad von 41,38 % , was mathematisch auf 41 %</w:t>
      </w:r>
    </w:p>
    <w:p>
      <w:r>
        <w:t>(vgl. BGE 130 V 121) ab zurunden ist. 7 .</w:t>
      </w:r>
    </w:p>
    <w:p>
      <w:r>
        <w:t>Nach diesen Erwägungen ist die Beschwerde teilweise gutzuheissen und der Beschwerdeführerin in Aufhebung des Einspracheentscheids vom 1 0. September 2020 mit Wirkung ab 1. September 2020 eine Invalidenrente im Ausmass einer Erwerbsunfähigkeit von 41 % sowie eine Integritätsentschädigung im Ausmass einer Integritätseinbusse von 35 % zuzusprechen. I m darüber hinausgehenden Umfang des Rechtsbegehrens ist die Beschwerde abzuweisen. 8 .</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GebV</w:t>
      </w:r>
    </w:p>
    <w:p>
      <w:r>
        <w:t>SVGer ).</w:t>
      </w:r>
    </w:p>
    <w:p>
      <w:r>
        <w:t>Bei diesem Ausgang des Verfahrens hat die Beschwerdeführerin Anspruch auf eine ungekürzte Parteientschädigung (zur sogenannten Überklagung vgl. BGE 117 V 401 E. 2c; vgl. Urteile des Bundesgerichts 8C_449/2016 vom 2. November 2016 E. 3.1.1 und 8C_500/2020 vom 9. Dezember 2020 E. 4.4). Diese ist unter Schätzung des notwendigen Aufwandes ermessensweise auf Fr. 3'000.-- (inkl. Barauslagen und MWSt ) und der Beschwerdegegnerin aufzuer legen. Das Gericht erkennt: 1.</w:t>
      </w:r>
    </w:p>
    <w:p>
      <w:r>
        <w:t>In teilweiser Gutheissung der Beschwerde wird der Einspracheentscheid vom 2 9. September 2020 aufgehoben und der Beschwerdeführerin mit Wirkung ab 1. September 2020 eine Invalidenrente gestützt au f eine Erwerbsunfähigkeit von 41 % sowie eine Integritätsentschädigung gestützt auf eine Integritätseinbusse von 35 % zugesprochen. Im Übrigen wird die Beschwerde abgewiesen. 2.</w:t>
      </w:r>
    </w:p>
    <w:p>
      <w:r>
        <w:t>Das Verfahren ist kostenlos. 3.</w:t>
      </w:r>
    </w:p>
    <w:p>
      <w:r>
        <w:t>Die Beschwerdegegnerin wird verpflichtet, der Beschwerdeführerin eine Prozessent schädigung von Fr. 3’000 .-- (inkl. Barauslagen und MWSt ) zu bezahlen. 4.</w:t>
      </w:r>
    </w:p>
    <w:p>
      <w:r>
        <w:t>Zustellung gegen Empfangsschein an: - Y.___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6</w:t>
      </w:r>
    </w:p>
    <w:p>
      <w:r>
        <w:t>Auf die einzelnen Vorbringen der Parteien sowie die aufgelegten Akten wird, soweit erforderlich, in den nachfolgenden Erwägungen näher eingegangen. Das Gericht zieht in Erwägung: 1.</w:t>
      </w:r>
    </w:p>
    <w:p>
      <w:r>
        <w:rPr>
          <w:b/>
        </w:rPr>
        <w:t>E. 10</w:t>
      </w:r>
    </w:p>
    <w:p>
      <w:r>
        <w:t>Abs. 1 UVG hat die versicherte Person Anspruch auf die zweck mässige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 Art. 19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