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UV.2020.00223 vom 5. März 2021</w:t>
      </w:r>
    </w:p>
    <w:p>
      <w:r>
        <w:t>ZH Sozialversicherungsgericht, 2021-03-05, DE</w:t>
      </w:r>
    </w:p>
    <w:p>
      <w:r>
        <w:rPr>
          <w:b/>
        </w:rPr>
        <w:t xml:space="preserve">Quelle: </w:t>
      </w:r>
      <w:r>
        <w:t>https://mcp.opencaselaw.ch/entscheid/zh_sozialversicherungsgericht_UV.2020.00223</w:t>
      </w:r>
    </w:p>
    <w:p>
      <w:r>
        <w:t>FR: ZH_SOZIALVERSICHERUNGSGERICHT UV.2020.00223 du 5 mars 2021</w:t>
      </w:r>
    </w:p>
    <w:p>
      <w:r>
        <w:t>IT: ZH_SOZIALVERSICHERUNGSGERICHT UV.2020.00223 del 5 marzo 2021</w:t>
      </w:r>
    </w:p>
    <w:p>
      <w:pPr>
        <w:pStyle w:val="Heading2"/>
      </w:pPr>
      <w:r>
        <w:t>Erwägungen</w:t>
      </w:r>
    </w:p>
    <w:p>
      <w:r>
        <w:rPr>
          <w:b/>
        </w:rPr>
        <w:t>E. 1</w:t>
      </w:r>
    </w:p>
    <w:p>
      <w:r>
        <w:t>X.___ , geboren 1980, arbeitet seit dem 1. Januar 2016 als Plattenleger für die Y.___ AG und ist in dieser Eigenschaft gegen Berufs- und Nichtberufs unfälle bei der Suva versichert. Am 6. Februar 2019 wurde der Suva angezeigt, dass der Versicherte am 1. Februar 2019 bei einem Badezimmerumbau die Wand platten mit einem Hilti-Spitzhammer abgespitzt habe und dabei einen heftigen Schlag in der Schulter verspürt habe. Am darauffolgenden Wochenende seien die Schmerzen stärker geworden, so dass er am kommenden Montag einen Arzt auf gesucht habe (Urk. 7/1). Der erstbehandelnde Arzt Dr. med. Z.___ , Facharzt für Allgemeine Medizin, untersuchte den Versicherten am 4. Februar 2019. Er führte aus, dass dem Versicherten beim Leeren eines Korbes, den er über die rechte Schulter gehoben habe, ein Stein gegen das rechte Schulterblatt gefallen sei und er zunehmende Schmerzen bei weiterer Belastung habe. Er diagnostizierte eine Kontusion der rechten Schulter (Urk. 7/8). Die Suva trat auf den Schaden ein und erbrachte die gesetzlichen Leistungen (Urk. 7/11). Die Arbeitgeberin teilte der Suva am 9. Juni 2019 mit, dass der Versicherte zwischenzeitl ich wieder arbeite (Urk. 7/25), woraufhin die Suva keine weiteren Leistungen erbrachte.</w:t>
      </w:r>
    </w:p>
    <w:p>
      <w:r>
        <w:t>Mit Schadenmeldung UVG vom 1. Februar 2020 wurde der Suva angezeigt, dass der Versicherte einen Rückfall erlitten habe (Urk. 7/26). Nachdem die Suva medi zinische Abklärungen getätigt hatte , teilte sie dem Versicherten mit Verfügung vom 26. Juni 2020 mit, dass zwischen dem Ereignis vom 1. Februar 2019 und den gemeldeten Schulterbeschwerden rechts kein sicherer oder wahrscheinlicher Kausalzusammenhang bestehe, so dass sie keine Versicherungsleistungen erbrin gen würden (Urk. 7/54).</w:t>
      </w:r>
    </w:p>
    <w:p>
      <w:r>
        <w:t>Der Versicherte erhob hiergeg en am</w:t>
      </w:r>
    </w:p>
    <w:p>
      <w:r>
        <w:rPr>
          <w:b/>
        </w:rPr>
        <w:t>E. 4</w:t>
      </w:r>
    </w:p>
    <w:p>
      <w:r>
        <w:t>Strittig und zu prüfen ist, ob die Beschwerdegegnerin ihre Leistungspflicht für die mit Rückfallmeldung vom 1. Februar 2020 geltend gemachten Beschwerden zu Recht verneint hat.</w:t>
      </w:r>
    </w:p>
    <w:p>
      <w:r>
        <w:rPr>
          <w:b/>
        </w:rPr>
        <w:t>E. 4.1</w:t>
      </w:r>
    </w:p>
    <w:p>
      <w:r>
        <w:t>Vorab ist festzuhalten, dass der ursprüngliche Unfall administrativ formlos res pektive gemäss Aktenlage ohne Mitteilung abgeschlossen wurde . Dies ist ange sichts des Umstandes, dass lediglich für die Zeit vom 4. Februar bis zum 30. April 2019 (vgl. Urk. 7/13-15)</w:t>
      </w:r>
    </w:p>
    <w:p>
      <w:r>
        <w:t>eine Arbeit sunfähigkeit bestand (vgl. Urk. 7/22 und Urk. 7/17) und im Nachgang an die Konsultation vom 5. April 2019 (anlässli ch welcher noch eine Physiotherapieserie verordnet wurde; vgl. Urk. 7/22 ) den Akten keinerlei Hinweis auf weitere Behandlungen zu entnehmen sind, nicht zu beanstanden. Nachdem sich der Beschwerdeführer - soweit aus den Akten ersichtlich - danach nicht mehr in ärztliche Behandlung begab, musste die Beschwerdegegnerin im Februar 2020 nicht davon ausgehen, es werde eine wei tere Behandlungsbedürftigkeit oder Arbeitsunfähigkeit im Zusammenhang mit dem Unfall vom 1. Februar 2019 auftreten (vorstehend E.2 .4). Entsprechend ist ein Rückfall bzw. sind Spätfolgen zu prüfen, was auch seitens der Parteien unbe stritten blieb.</w:t>
      </w:r>
    </w:p>
    <w:p>
      <w:r>
        <w:rPr>
          <w:b/>
        </w:rPr>
        <w:t>E. 4.2</w:t>
      </w:r>
    </w:p>
    <w:p>
      <w:r>
        <w:t>Bezüglich der am 1. Februar 2020 als Rückfall gemeldeten Beschwerden in der rechten Schulter verneinte Dr. C.___ mit Beur teilungen vom 9. März sowie 26. Juni 2020 nachvollziehbar und überzeugend einen Zusammenhang mit dem Ereignis vom 1. Februar 2020 (vgl. Urk. 7/35 und Urk. 7/53 ; E. 3.2.3 und E. 3.2.5 ). Sie leitete schlüssig her, weshalb unter Berücksichtigung des Unfall mechanismus und der Erkenntnisse der bildgebenden Untersuchungen,</w:t>
      </w:r>
    </w:p>
    <w:p>
      <w:r>
        <w:t>de r echt zeitlich erhobenen klinischen Befunde sowie de r intraoperativ gewonnenen Fest stellungen von degenerativ bedingten Beschwerden auszugehen ist (vgl. vorstehe nd E. 3.2.3 und E. 3.2.5 ). Ihre plausible Argumentation, welche sie ausführ lich begründete, vermag in jeder Hinsicht zu überzeugen. Sodann handelt es sich beim massgebenden kreisärztlichen Bericht um eine Aktenbeurteilung und damit eine Interpretation bereits vorliegender Berichte. Hierbei findet sich keine Akten widrigkeit, sondern eine detaillierte und schlüssige Darlegung der medizinischen Zusammenhänge unter Bezugnahme auf die echtzeitlich erhobenen Befunde.</w:t>
      </w:r>
    </w:p>
    <w:p>
      <w:r>
        <w:t>Zwischen dem</w:t>
      </w:r>
    </w:p>
    <w:p>
      <w:r>
        <w:rPr>
          <w:b/>
        </w:rPr>
        <w:t>E. 4.3</w:t>
      </w:r>
    </w:p>
    <w:p>
      <w:r>
        <w:t>An der schlüssigen und überzeugenden Darlegung von Dr. C.___ vermag auch der Bericht der behandelnden Ärzte des D.___ vom 21. Juli 2020 keine Zweifel zu wecken (E. 3.2.6) . Die Ärzte argumentierten, dass vor dem Unfall im Februar 2019 eine völlig beschwerdefreie Schulter vorgelegen hätte. Allerdings ist die Arg umentation nach der Formel « post hoc ergo propter hoc», nach deren Bedeu tung eine gesundheitliche Schädigung schon dann als durch den Unfall verur sacht gilt, weil sie n ach diesem aufgetreten ist, beweisrechtlich nicht zulässig und vermag zum Nachweis der Unfallkausalität nicht zu genügen (BGE 119 V 335 E. 2b/ bb , Urteil des Bundesgerichts 8C_332/2013 vom 25. Juli 2013 E. 5.1).</w:t>
      </w:r>
    </w:p>
    <w:p>
      <w:r>
        <w:t>Darüber hinaus konstatierten sie, dass eine Schulterinstabilität bei einem 40-jäh rigen Patienten ohne Hyperlaxizität oder Risikofaktoren nur unfallbedingt auf treten könne - eine nachvollziehbare Begründung oder schlüssige Herleitung aus der medizinischen Fachliteratur fehlt allerdings. Im Übrigen wurde entgegen die sem Bericht initial nicht eine Schulterdistorsion, sondern eine Schulterkontusion diagnostiziert.</w:t>
      </w:r>
    </w:p>
    <w:p>
      <w:r>
        <w:rPr>
          <w:b/>
        </w:rPr>
        <w:t>E. 4.4</w:t>
      </w:r>
    </w:p>
    <w:p>
      <w:r>
        <w:t>Zusammenfassend ist nach dem Gesagten nicht erstellt, dass die ab 31. Dezember 2019</w:t>
      </w:r>
    </w:p>
    <w:p>
      <w:r>
        <w:t>ärztlich dokumentierten Beschwerden durch den Unfall vom 1. Februar 2019 bedingt sind. Dementsprechend erweist sich der Einspracheentscheid vom 28. August 2020 als rechtens, weshalb die Beschwerde abzuweisen ist.</w:t>
      </w:r>
    </w:p>
    <w:p>
      <w:r>
        <w:rPr>
          <w:b/>
        </w:rPr>
        <w:t>E. 5</w:t>
      </w:r>
    </w:p>
    <w:p>
      <w:r>
        <w:t>Das Verfahren ist kostenlos.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