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UV.2020.00221 vom 26. August 2021</w:t>
      </w:r>
    </w:p>
    <w:p>
      <w:r>
        <w:t>ZH Sozialversicherungsgericht, 2021-08-26, DE</w:t>
      </w:r>
    </w:p>
    <w:p>
      <w:r>
        <w:rPr>
          <w:b/>
        </w:rPr>
        <w:t xml:space="preserve">Quelle: </w:t>
      </w:r>
      <w:r>
        <w:t>https://mcp.opencaselaw.ch/entscheid/zh_sozialversicherungsgericht_UV.2020.00221</w:t>
      </w:r>
    </w:p>
    <w:p>
      <w:r>
        <w:t>FR: ZH_SOZIALVERSICHERUNGSGERICHT UV.2020.00221 du 26 août 2021</w:t>
      </w:r>
    </w:p>
    <w:p>
      <w:r>
        <w:t>IT: ZH_SOZIALVERSICHERUNGSGERICHT UV.2020.00221 del 26 agosto 2021</w:t>
      </w:r>
    </w:p>
    <w:p>
      <w:pPr>
        <w:pStyle w:val="Heading2"/>
      </w:pPr>
      <w:r>
        <w:t>Erwägungen</w:t>
      </w:r>
    </w:p>
    <w:p>
      <w:r>
        <w:rPr>
          <w:b/>
        </w:rPr>
        <w:t>E. 1.1</w:t>
      </w:r>
    </w:p>
    <w:p>
      <w:r>
        <w:t>Gemäss Art. 6 Abs. 1 des Bundesgesetzes über die Unfallversicherung (UVG) werden – soweit das Gesetz nichts anderes bestimmt – die Versicherungs leis tungen bei Berufsunfällen, Nichtberufsunfällen und Be rufskrankheiten gewährt. Ausserdem kann der Bundesrat nach Art. 6 Abs. 2 UVG Körperschädigungen, die den Folgen eines Unfalls ähnlich sind, in die Versicherung einbeziehen, und er hat davon mit der Aufzählung in Art. 9 der Verordnung über die Unfall ver si cherung (UVV) Gebrauch gemacht.</w:t>
      </w:r>
    </w:p>
    <w:p>
      <w:r>
        <w:t>Die Leistungspflicht eines Unfallversicherers gemäss UVG setzt voraus, dass zwischen dem Unfallereignis und dem eingetretenen Schaden (Krankheit, Inva lidität, Tod) ein natürlicher Kausalzusammenhang und ein adäquater Kausalzu sammenhang besteht. Bei organischen Unfallfolgen deckt sich die adäquate, also die rechtserhebliche Kausalität weitgehend mit der natürlichen Kausalität (BGE 134 V 109 E. 2.1).</w:t>
      </w:r>
    </w:p>
    <w:p>
      <w:r>
        <w:rPr>
          <w:b/>
        </w:rPr>
        <w:t>E. 1.2</w:t>
      </w:r>
    </w:p>
    <w:p>
      <w:r>
        <w:t>N ach Art. 1 0 Abs. 1 UVG hat die versicherte Person Anspruch auf die zweck mässige Behandlung der Unfallfolgen. Ist sie infolge des Unfalls voll oder teil weise arbeitsunfähig, so steht ihr gemäss Art. 16 Abs. 1 UVG ein Tag geld zu. Wird die versicherte Person infolge des Unfalls zu mindestens 10 % invalid, so hat sie gemäss Art. 18 Abs. 1 UVG Anspruch auf eine Invalidenrente. Der Ren tenan spruch entsteht nach Art. 19 Abs. 1 UVG, wenn von der Fortset zung der ärztli chen Behandlung keine namhafte Besserung des Gesundheitszu standes mehr erwartet werden kann und allfällige Eingliederungsmassnahmen der Invali den versiche rung abgeschlossen sind, wobei mit dem Rentenbeginn die Heilbehand lung und die Taggeldleistungen dahinfallen. Ferner entsteht zusam men mit der Festlegung der Invalidenrente beziehungsweise mit der Beendigung der ärztlichen Behandlung (Art. 24 Abs. 2 UVG) un ter den Voraussetzungen in Art. 24 Abs. 1 UVG auch ein Anspruch auf eine Integritätsentschädigung.</w:t>
      </w:r>
    </w:p>
    <w:p>
      <w:r>
        <w:rPr>
          <w:b/>
        </w:rPr>
        <w:t>E. 1.3</w:t>
      </w:r>
    </w:p>
    <w:p>
      <w:r>
        <w:t>I nvalidität ist nach Art. 8 Abs. 1 des Bundesgesetzes über den Allgemeinen Teil des Sozialversicherungsrechts (ATSG) die voraussichtlich bleibende oder längere Zeit dauernde ganze oder teilweise Erwerbsunfähigkeit. Für die Bestimmung des Invaliditätsgrades wird nach Art. 16 ATSG da s Erwerbseinkommen, das die ver sicherte Person nach Eintritt der Invalidität u nd nach Durchführung der medi zi nischen Behandlung und allfälliger Eingliederungsmassnahmen durch eine ihr zumutbare Tätigkeit bei ausgeglichener Arbeits marktlage erzielen könnte (soge nanntes Invalideneinkommen), in Beziehung gesetzt zum Erwerbseinkommen, das sie erzielen könnte, wenn sie nicht invalid geworden wäre (sogenanntes Valideneinkommen ).</w:t>
      </w:r>
    </w:p>
    <w:p>
      <w:r>
        <w:t>Nach der Rechtsprechung zur Invaliditätsbemessung in der Invalidenversiche ru ng, die auch im Unfallversicherungsrecht anwendbar ist, hat der Einkommens ver gleich in der Regel in der Weise zu erfolgen, dass die beiden hypothetischen Erwerbseinkommen ziffernmässig möglichst genau ermittelt und einander gegen übergestellt werden, worauf sich aus der Ein kommensdifferenz der Invaliditäts grad bestimmen lässt. Insoweit die fraglichen Erwerbseinkommen ziffernmässig nicht genau ermittelt werden können, sind sie nach Massgabe der im Einzelfall bekannten Umstände zu schätzen und die so gewonnenen Annäherungswerte miteinander zu vergleichen (BGE 128 V 29 E. 1).</w:t>
      </w:r>
    </w:p>
    <w:p>
      <w:r>
        <w:rPr>
          <w:b/>
        </w:rPr>
        <w:t>E. 1.4</w:t>
      </w:r>
    </w:p>
    <w:p>
      <w:r>
        <w:t>2</w:t>
      </w:r>
    </w:p>
    <w:p>
      <w:r>
        <w:t>Im Anhang 3 zur UVV hat der Bundesrat Richtlinien für die Bemessung der Inte gritätsschäden aufgestellt und in einer als gesetzmässig erkannten, nicht ab schlies 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t>Im Falle einer Gesamtentschädigung im Sinne von Art. 36 Abs. 3 UVV genügt allerdings für den Entschädigungs an spruch, dass die Summe der Prozentzahlen, die den ein zelnen Schädigungen ent sprechen, die Erheblichkeitsgrenze von 5 % übersteigt; Beeinträchtigungen, die für sich allein das Ausmass von 5 % nicht erreichen, sind demnach einzubeziehen (vgl. BGE 116 V 156 E. 3b).</w:t>
      </w:r>
    </w:p>
    <w:p>
      <w:r>
        <w:t>Di e Medizinische Abteilung der Suva hat in Weiterentwicklung der bundes rät lichen Skala weitere Bemessungsgrundla gen in tabellarischer Form (soge nannte Feinraster) erarbeitet. Diese von der Verwaltung herausgegebenen Tabel len stel len zwar keine Rechtssätze dar und sind für das Gericht nicht verb 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 cherten gewährleistet werde n soll, sind sie mit dem Anhang 3 zur UVV vereinbar (BGE 124 V 29 E. 1c, 116 V 156 E. 3a). 2. 2.1</w:t>
      </w:r>
    </w:p>
    <w:p>
      <w:r>
        <w:t>Der Beschwerdeführer liess vorab vorbringen, die Beschwerdegegnerin habe in verschiedener Hinsicht seinen Anspruch auf rechtliches Gehör verletzt, nämlich zum einen dadurch, dass sie die Verfügung vom 16. Oktober 2019 (Urk. 7/174) erlassen habe, ohne ihm entsprechend seinem Ersuchen vom 11. Oktober 2019 (vgl. Urk. 7/169 S. 1) vorgängig die Akten zuzustellen und ihm Gelegenheit zur Stellungnahme zu geben , und zum andern dadurch, dass sie im angefochtenen Einspracheentscheid nicht auf alle Argumente eingegangen sei, die er in der Ein sprache habe vortragen lassen, und dass sie wesentliche Sachverhalts fest stel lun gen ins Einspracheverfahren verlagert habe, indem sie d em Einsprache ent scheid eine neu eingeholte Beurteilung des Integritätsschadens von Dr. F.___ zugrunde</w:t>
      </w:r>
    </w:p>
    <w:p>
      <w:r>
        <w:t>gelegt habe (Urk. 1 S. 3 ff.). 2.2</w:t>
      </w:r>
    </w:p>
    <w:p>
      <w:r>
        <w:t>Der Anspruch auf rechtliches Gehör nach Art. 29 Abs. 2 der Bundesverfassung (BV) und Art. 42 Satz 1 ATSG umfasst rechtsprechungsgemäss das Recht der betroffenen Person, sich vor Erlass des in ihre Rechtsstellung eingreifenden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 flussen (BGE 132 V 368 E. 3.1 mit Hinweisen, insbesondere auf BGE 124 V 180 E . 1a).</w:t>
      </w:r>
    </w:p>
    <w:p>
      <w:r>
        <w:t>Ein weiterer zentraler Bestandteil des verfassungsrechtlichen Gehörsan spruchs ist die Begründungspflicht. Diese soll rechtsprechungsgemäss verhindern, dass sich die Behörde von unsachlich en Motiven leiten lässt, und der b etroffenen Person ermöglich en, den Entscheid sachgerecht anzufechten. Im Entscheid müssen deshalb zumindest kurz die Überlegungen genannt werden, von denen sich die Behörde hat le iten lassen , ohne dass die Behörde indessen auf jedes einzelne Vorbringen eingehen müsste (vgl. BGE 139 V 496 E. 5.1, 124 V 180 E . 1a).</w:t>
      </w:r>
    </w:p>
    <w:p>
      <w:r>
        <w:t>In Art. 42 Satz 2 ATSG wird in dem Sinne eine Ausnahme von der An hörungspflicht statuiert, dass die Parteien vor Verfügungen, die durch Einsprache anfechtbar sind, nicht angehört werden müssen.</w:t>
      </w:r>
    </w:p>
    <w:p>
      <w:r>
        <w:t>Dabei betrifft die se Einschrän kung des rechtlich en Gehörs nur die Anhörung, nicht aber die übrigen Aspekte dieses verfassungsmässigen Rechts (vgl. BGE 132 V 368 E. 4.1 sowie Kieser , ATSG-Kommentar, 4. Auflage, Zürich 2020, N 46 zu Art. 42 ATSG mit Hinweis auf das Urteil des Bundesgerichts 8C_ 386/2014 vom 6. Oktober 2014 E. 4.2).</w:t>
      </w:r>
    </w:p>
    <w:p>
      <w:r>
        <w:t>Art.</w:t>
      </w:r>
    </w:p>
    <w:p>
      <w:r>
        <w:t>42 Satz 2 ATSG tangiert also namentlich die Pflicht zur Entscheidbe grün dung nicht. 2.3 2.3.1</w:t>
      </w:r>
    </w:p>
    <w:p>
      <w:r>
        <w:t>Aufgrund der Ausnahmeregelung in Art. 42 Satz 2 ATSG, die das Bundesgericht als verbindlich beurteilt (vgl. BGE 132 V 368 E. 4), war die Beschw erdegegnerin nicht gehalten, den Beschwerdeführer vor Erlass der Verfügung vom 16. Oktober 2019 anzuhören. Insoweit liegt daher keine Verletzung des Anspruchs auf recht liches Gehör vor. 2.3.2</w:t>
      </w:r>
    </w:p>
    <w:p>
      <w:r>
        <w:t>Verletzt wurde der Gehörsanspruch des Beschwerdeführers hingegen durch eine mehrfach unzureichende Begründung der Verfügung vom 16. Oktober 2019 .</w:t>
      </w:r>
    </w:p>
    <w:p>
      <w:r>
        <w:t>So is t es entsprechend den Darlegungen im angefochtenen Eins pracheentscheid (Urk. 2 S. 3) zwar zu treffend, dass die Frage des Fallabschlusses im Sinne von Art. 19 Abs. 1 UVG und die Frage des Rentenanspruchs nach Art. 18 UVG ein und de nselben Streitgegenstand bilden. Denn die Entstehung des Rentenan spruchs</w:t>
      </w:r>
    </w:p>
    <w:p>
      <w:r>
        <w:t>hängt davon ab, dass die Voraussetzungen des Fallabschlusses gegeben sind, dass mithin von der Fortsetzung der ärztlichen Behandlung keine namhafte Besserung des Gesundheitszustandes mehr erwartet werden kann und allfällige Eingliede rungsmassnahmen der Invaliden versicherung abgeschlossen sind (vgl. das von der Beschwerdegegnerin zitierte Urteil des Bundesgerichts 8C_43/2017 vom 1. Juni 2017 E. 2.3.1 ; Urk. 2 S. 3 ). D emgemäss kann</w:t>
      </w:r>
    </w:p>
    <w:p>
      <w:r>
        <w:t>der Entscheid über den Fall abschluss nicht vom Rentenentscheid gesonde rt in Rechtskraft erwachsen , son dern Fallab schluss und Rente müssen Gegenstand d esselben Entscheids sein und im Rahmen desselben Verfahrens gerichtlich überprüft werden können (vgl.</w:t>
      </w:r>
    </w:p>
    <w:p>
      <w:r>
        <w:t>Urteil des Bun de sgerichts 8C_43/ 2017 vom 1. Juni 2017 E. 2.3.2 und E. 2.3.3 ). Dies bedeutet aber auch , dass der Entscheid über den Rentenanspruch nicht auf die Festlegung des Invaliditätsgrades limitiert sein darf, sondern sich auch mit den Voraus setzungen des Fallabschlusses auseinanderzusetzen hat, die für den Rentenbeginn bestimmend sind. Diese Auseinandersetzung fehlt indessen in der Verfügung vom 16. Oktober 2019 , wie der Beschwerdeführer in der Einsprache zutreffend bemer ken liess (Urk. 7/189 S. 3) ; der Zeitpunkt d es Rentenbeginnes wird darin gar nicht genannt, sondern es werden lediglich Überlegungen zur Arbeits - und Erwerbs fähigkeit gemacht , und im Übrigen wird auf das Schreiben vom 19. September 2019 (Urk. 7/154)</w:t>
      </w:r>
    </w:p>
    <w:p>
      <w:r>
        <w:t>verwiesen.</w:t>
      </w:r>
    </w:p>
    <w:p>
      <w:r>
        <w:t>Des Weiteren beschränkt sich die Begründung der Verfügung vom 16. Oktober 2019 hinsichtlich des Anspruchs auf eine Integritätsentschädigung auf die Fest stellung, dass keine erhebliche Schädigung der körperlichen Integrität vorliege (Urk. 7/174 S. 2); die Verfügung begnügt sich demnach damit, den Wortlaut der gesetzlichen Voraussetzung en nach Art. 24 Abs. 1 UVG wiederzugeben und diese Voraussetzung en zu verneinen, ohne dass jedoch dargetan wird , welche kon kreten, auf den Fall zugeschnittenen Überlegungen zu dieser Verneinung geführt haben. Auch die kre isärztliche Beurteilung von Dr. F.___ vom 12. September 2019, auf d er die Verfügung vo m 16. Oktober 2019 basiert, macht keine vertiefte Auseinandersetzung mit dem Integritätsschaden erkennbar, sondern die Kreis ärztin gab sich ebenfalls mit der allgemeinen Feststellung zufrieden, dass die Erheblichkeitsgrenze für den Anspruch auf eine Integritätsentschäd ig ung nicht erreicht sei (Urk. 7/136 S. 9). Der Beschwerdeführer liess daher in der Einsprache zu Recht vorbringen, es sei nicht ersichtlich , aufgrund welcher Aspekte die Kreis ärzt in zu ihrem Schluss gelangt sei (Urk. 7/189 S. 9), und er hatte dement spre chend keine Möglichkeit, Entgegnungen dazu zu formulieren.</w:t>
      </w:r>
    </w:p>
    <w:p>
      <w:r>
        <w:t>Die beiden Begründungsmängel wurden allerdings im Einspracheverfahren beho ben. Was zunächst den Fallabschluss betrifft, so war dem Beschwerdeführer die Begründung dafür durch die Ausführungen im Schreiben vom 19. September 2019 (Urk. 7/154) bekannt, er konnte deshalb in der Einsprache dazu Stellung nehmen (Urk. 7/189 S. 3 ff.), und die Beschwerdegegnerin bezog dieses Ele ment des Rentenanspruchs alsdann in den angefochtenen Einspracheentscheid ein (Urk. 2 S. 3 ff.). In Bezug auf die Integritätsentschädigung sodann beseitigte die Be schwer degegnerin den Begründungsmangel dadurch, dass sie von Dr. F.___ die ergänzende Aktenbeurteilung vom 27. August 2020 einholte, worin sich die Ärztin</w:t>
      </w:r>
    </w:p>
    <w:p>
      <w:r>
        <w:t>nunmehr eingehend er mit dem Zustand der linken Hand befasste und gewisse Zuordnung en zu den Feinraster-Tabellen der B eschwerdegegnerin vornahm (Urk. 7/210). 2.3.3</w:t>
      </w:r>
    </w:p>
    <w:p>
      <w:r>
        <w:t>Der a n gefochtene Einspracheentscheid ging indessen mit einer neuen Gehörs verletzung einher, da er am selben Tag w ie die Aktenbeurteilung von Dr. F.___</w:t>
      </w:r>
    </w:p>
    <w:p>
      <w:r>
        <w:t>erlassen wurde und der Beschwerdeführer somit keine Gelegenheit hatte, sich vorgängig zu dieser Aktenbeurteilung zu äussern. Zwar fragt es sich, ob die Beurteilung von Dr. F.___ entsprechend dem Dafürhalten des Beschwerdeführers (Urk. 1 S. 4 ) tatsächlich Bestandteil der Sachverhaltsabklärung und nicht vielmehr Bestandteil der Begründung ist. Denn sie basiert ausschliesslich auf medizini schen Feststellungen, die zu einem früheren Zeitpunkt getroffen worden waren, und Inhalt der Beurteilung ist die vertiefte Auseinandersetzung mit diesen Fest stellungen im Hinblick auf die Voraussetzungen für den Anspruch auf eine Inte gritätsentschädigung. A uf jeden Fall aber liegt der kreisärztlich e n Beurteilung medizinische s Spezialw issen zugrunde , und dem Beschwerdeführer hätte es daher ermöglicht werden müssen, dieses Wissen im Einspracheverfahren zu überprüfen oder durch selbst beigezogene Experten überprüfen zu lassen.</w:t>
      </w:r>
    </w:p>
    <w:p>
      <w:r>
        <w:t>Der Beschwerdeführer liess jedoch zu Recht auf die Rechtsprechung hinweisen, wonach eine nicht besonders schwerwiegende Verletzung des rechtlichen Gehörs als geheilt gelten kann und somit keine rein formell begründete Aufhebung des angefochtenen Entscheids zur Folge hat, wenn die betroffene Person die Mög lichkeit erhält, sich vor einer Beschwerdeinstanz zu äussern, die den Sachverhalt und die Rechtslage frei überprüfen kann (BGE 124 V 180 E. 4a) . Diese Voraus setzungen für eine Heilung der Gehörsverletzung sind vorliegendenfalls erfüllt. Die Verletzung ist zwar nicht als leicht zu qualifizieren angesichts dessen, dass die Verfügung vom 19. Oktober 2019 in Bezug auf die Integritätsentschädigung nicht einmal ansatzweise begründet war und die kreisärztliche Beurteilung vom 27. August 2020 demnach als einzige Grundla ge für die Anspruchsverneinung erscheint. Der Beschwerdeführer überliess es jedoch ausdrücklich dem Ermessen des Gerichts, über die Heilung der Gehörsverletzung zu entscheiden, und angesichts de ssen, dass er sich in der Beschwerdeschrift zur Aktenbeurteilung von Dr. F.___</w:t>
      </w:r>
    </w:p>
    <w:p>
      <w:r>
        <w:t>umfassend äussern konnte (Urk. 1 S. 12 ff.) und mit der Eingabe vom 19. November 2020 (Urk. 9) von seinem Recht zu einer weiteren Stellungnahme Gebrauch machte, ist diese Heilung vorzunehmen. 2.4</w:t>
      </w:r>
    </w:p>
    <w:p>
      <w:r>
        <w:t>Damit ist der angefochtene Einspracheentscheid materiell zu überprüfen. 3. 3.1</w:t>
      </w:r>
    </w:p>
    <w:p>
      <w:r>
        <w:t>Die Beschwerdegegnerin hat die Taggeldleistungen per E nde 2019 eingestellt und für die Zeit danach den Rentenanspruch geprüft. Sie nannte diesen Zeitpunkt explizit in ihrem Schreiben vom 19. September 2019 (Urk. 7/154) und setzte ihn im angefochtenen Einspracheentscheid stillschweigend voraus (Urk. 2 S. 3 ff.).</w:t>
      </w:r>
    </w:p>
    <w:p>
      <w:r>
        <w:t>Zu prüfen ist damit als erstes, ob der Fallabschluss im Sinne von Art. 19 Abs. 1 UVG per Ende 2019 rechtens ist. 3.2 3.2.1</w:t>
      </w:r>
    </w:p>
    <w:p>
      <w:r>
        <w:t>Die Beschwerdegegnerin stützte sich für den Fallabschluss</w:t>
      </w:r>
    </w:p>
    <w:p>
      <w:r>
        <w:t>a uf den Bericht von Dr. F.___ über die kreisärztliche Untersuchung vom 10. September 2019. Dr. F.___ hielt darin fest, dass sich klinisch eine fast seitengleiche Beweglichkeit in beiden Handgelenken mit nur minimen Einschränkungen links gezeigt habe, dass der Faustschluss beidseits komplett möglich sei und dass der klinische Befund im Wesentlichen dem Befund bei Austritt aus der Rehaklinik E.___ entspreche. Sie gehe deshalb davon aus , dass durch eine Fortsetzung der Behandlung keine ver sicherungsmedizinisch relevante B esserung der Unfallfolgen mehr erzielt werden könne; vielmehr sei ein stabiler mediz inischer Zustand erreicht (Urk. 7/136 S. 8 f.). 3.2.2</w:t>
      </w:r>
    </w:p>
    <w:p>
      <w:r>
        <w:t>Im Behandlungsverlauf konstatie rte das Kantonsspital A.___ Anfang Dezem ber 2018 einen Rückgang der Schwellungen im Vergleich zu den Voruntersu chungen , der auch vom Beschwerde führer selbst bemerkt worden sei , und dem ent sprechend wurde die Frequenz der ergotherapeutischen Sitzungen von mehr mals wöchentlich (vgl. den Beric ht des Kantonsspitals A.___ vom 28. Novem ber 2018, Urk. 7/40 S. 2) auf eine Si tzung pro Woche reduziert (Urk. 7/43 S. 3). D as U niversität sspital B.___ erwähnte ein paar Tage später ebenfalls die Aussage des Beschwerdeführers, es gehe ihm seit dem Datum des Zuweisungsschreibens deut lich besser , und beschrieb die Narbenverhältnisse als bland , abgesehen von leichten Rötungen. Die als postoperatives Ödem interpretierten Schwellungs zu stände bezeichne te das Universitätsspital B.___ gleichermassen als reduziert, wenn auch residuell immer noch vorhanden , und empfahl neben der Anpassung de s Kompressionshandschuhs/-strumpfes</w:t>
      </w:r>
    </w:p>
    <w:p>
      <w:r>
        <w:t>eine manuelle Lymphdrainage (Urk. 7 /46 S. 3 ). Schliesslich spr ach das Kantonsspital A.___ i m Bericht über die erneute Kontrolluntersuchung von Anfang Januar 2019 abermals von einer deutlichen Befundbesserung mit nur noch residueller Rötung und Schwellung und riet des halb zu ein em Arbeitsversuch (Urk. 7/56 S. 2).</w:t>
      </w:r>
    </w:p>
    <w:p>
      <w:r>
        <w:t>Einen solchen hielt Dr. C.___ Mitte Januar 2019 allerdings noch für verfrüht und erhoffte sich von der Weiterführung der Ergotherapie und einer zusätzlichen Physiotherapie einen weiteren Rückgang der Schwellneigung (Urk. 7/55 S. 4). Auch durch die nachfolgende Empfehlung beziehungsweise Unterstützung eines Rehabilitationsaufenthaltes (Urk. 7/68 S. 3 und Urk.</w:t>
      </w:r>
    </w:p>
    <w:p>
      <w:r>
        <w:t>7/79) machte Dr. C.___ deutlich, dass sie sich von der Fortsetzung der Behandlung noch eine namhafte gesundheitliche Besserung versprach.</w:t>
      </w:r>
    </w:p>
    <w:p>
      <w:r>
        <w:t>Die Rehaklinik E.___</w:t>
      </w:r>
    </w:p>
    <w:p>
      <w:r>
        <w:t>berichtete bei Abschluss der Rehabilitation gegen Ende Mai 2019, dass als Probleme nach wie vor eine reduzierte Kraft der linken Hand, eine Schwellung des linken Unterarms bei Vibrationsbelastung respektive am Abend sowie belastungsabhängige Schmerzen in der linken Hand und ausserdem Schmerzen im rechten Ellbogen vorhanden seien (Urk. 7/110 S. 2), dass jedoch eine Steigerung de r Leistungsfähigkeit im Vergleich zum Zustand beim Eintritt habe erreicht werden können. Immer noch ging jedoch die K linik davon aus, dass die Belastbarkeit und die Kraft des linken Armes unter Fortsetz ung der emp foh lenen Therapien noch weiter zunehmen würden (Urk. 7/110 S. 4), sah allerdings davon ab, eine spezifische Prognose zu stellen (Urk. 7/110 S. 3) oder über die Instruktion eines Heimpr o grammes hinaus (vgl. Urk. 7/110 S. 4) weiterführende Massnahmen zur Zustandsverbesserung zu empfehlen. Dementsprechend liegen für die Zeit bis zur kreisärztlichen Untersuchung vom 10. September 2019 keine weiteren Berichte über ärztliche Kontrolluntersuchungen oder Behandlungen vor. Vielmehr gab der Beschwerdeführer anlässlich der Besprechung im Beisein seines Vorgesetzten vom 4. Juli 2019 an, nur noch die Medizinische Trainingstherapie (MTT), hingegen keine Ergotherapie und keine Physiotherapie (vgl. die letztmalige Verordnung durch Dr. C.___ vom 7. Juni 2019, Urk. 7/163) mehr durchzuführen, schildert e aber weiterhin die Schwierigkeiten der verminderten Kraft in der linken Hand , der eingeschränkten Beweglichkeit, der Schmerzen bei bestimmten Ver richtungen und des gelegentlichen Anschwellens (Urk. 7/122 S. 1). Auch nach dem Scheitern des Arbeitsversuchs im Juli 2019 konsultierte der Beschwerde führer offenbar keine medizinischen Fachpersonen im Hinblick auf die weitere Verbesserung der Funktionsfähigkeit der linken Hand mehr, sondern erwähnte gegenüber Dr. F.___ lediglich den Besuch bei einer Hautärztin wegen der Ver färbung des Hauttransplantationsgebietes auf der Innenseite der linken Hand (Urk. 7/136 S. 6).</w:t>
      </w:r>
    </w:p>
    <w:p>
      <w:r>
        <w:t>Im Rahmen der Anamneseerhebung anlässlich der kreisärztlichen Untersuchung gab der Beschwerdeführer sodann selbst an, sein Zustand habe sich seit dem Aufenthalt in der Rehaklinik E.___ nicht mehr wesentlich verändert , und er berichtete erneut von der bekannten Limitierung der Kraft der linken Hand, von den Schmerzen bei unvermittelten Bewegungen und von der Schwellungstendenz am Abend. Eine leichte Verbesserung vermerkte der Beschwerdeführer in Bezug auf die Beweglichkeit der linken Hand, die ihm beispielsweise ermögliche, mit der linken Hand T ürklinken zu betätigen (Urk. 7/136 S. 5) .</w:t>
      </w:r>
    </w:p>
    <w:p>
      <w:r>
        <w:t>Diese subjektive Wahrneh mung eines mehr oder weniger konstant gebliebenen Zustandsbildes liess sich objektiv bestätigen durch die klinischen Feststellungen von Dr. F.___ . Die Kreis ärztin mass eine Extension/Flexio n des linken Handgelenks von 60 0 60° im Vergleich zu ein er solchen von 50-0- 70° anlässlich der Austrittsmessung in der Rehaklinik E.___ ,</w:t>
      </w:r>
    </w:p>
    <w:p>
      <w:r>
        <w:t>stellte gleich wie die Rehaklinik E.___ einen kompletten Faustschluss fest und beschrieb die Narbenverhältnisse wiederum als reizlos (Urk.</w:t>
      </w:r>
    </w:p>
    <w:p>
      <w:r>
        <w:t>7/136 S.</w:t>
      </w:r>
    </w:p>
    <w:p>
      <w:r>
        <w:rPr>
          <w:b/>
        </w:rPr>
        <w:t>E. 1.4.1</w:t>
      </w:r>
    </w:p>
    <w:p>
      <w:r>
        <w:t>UV170430 Integritätsentschädigung, Grundlagen 02.2021 Erleidet die versicherte Person durch den Unfall eine dauernde erhebliche Schä digung der körperlichen, geistigen oder psychischen Integrität, so hat sie An spruch auf eine angemessene Integri tätsentschädigung (Art. 24 Abs. 1 UVG). Die Integritätsentschädigung wird in Form einer Kapitalleistung gewährt. Sie darf den am Unfalltag geltenden Höchstbetrag des versicherten Jahresverdienstes nicht übersteigen und wird entsprechend der Schwere des Integritätss 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 eeinträchtigt wird. Gemäss Abs. 2 gelten für die Bemessung der Integritätsentschädig ung die Richtlinien des Anhangs 3. Fallen mehrere körperliche, geistige oder psychische Integritätsschäden aus einem oder mehreren Unfällen zusammen, so wird die Integritätsentschädigung nach der ge samten Beeinträchtigung festgesetzt. Die Gesamtentschädigung darf den Höchst betrag des versicherten Jahresverdienstes nicht übersteigen und bereits nach dem Gesetz bezogene Entschädigungen werden prozentual angerechnet (Abs. 3). Vor aussehbare Verschlimmerungen des Integritätsschadens werden angemessen be rücksichtigt. Revisionen sind nur im Ausnahmefall möglich, wenn die Verschlim merung von grosser Tragweite ist und nicht voraussehbar war (Abs. 4).</w:t>
      </w:r>
    </w:p>
    <w:p>
      <w:r>
        <w:rPr>
          <w:b/>
        </w:rPr>
        <w:t>E. 1.5</w:t>
      </w:r>
    </w:p>
    <w:p>
      <w:r>
        <w:t>Inzwischen hatte sich der Versicherte auch bei der Sozialversicherungsa nstalt des Kantons Zürich, IV-Stelle , angemeldet. Diese sprach ihm Frühinterventions mas s nahmen in Form einer Ausbildung zum Lastwagenchauffeur/Busfahrer mit Er werb</w:t>
      </w:r>
    </w:p>
    <w:p>
      <w:r>
        <w:t>der entsprechenden Fahrausweise zu (Mitteilung vom 27. August 2019, Urk. 7/135 S. 4-6) und teilte ihm gleichzeitig mit, dass sie die berufliche Eingliederung mit der Zusprache dieser Massnahmen als abgeschlossen erachte und keine weiteren Ansprüc he b estünden (Urk. 7/135 S. 2-3 ).</w:t>
      </w:r>
    </w:p>
    <w:p>
      <w:r>
        <w:t>Am 10. September 2019 untersuchte die Kreisärztin Dr. F.___ den Versicherten (Bericht vom 12. September 2019, Urk. 7/136); danach wurde die Sac he der suva intern en Case-Managerin übergeben. Diese führte Gespräche mit dem Versi cher ten (Telefonnotiz vom 13. September 2019, Urk. 7/142; Notiz über die Bespre chung vom 16. September 2019, Urk. 7/146) und holte die Informationen der Arbeit geberin ein, die unterdessen die Auflösung des Arbeitsverhältnisses per Ende Oktober 2019 ausgesprochen hatte</w:t>
      </w:r>
    </w:p>
    <w:p>
      <w:r>
        <w:t>(Anfra ge vom 16. September 2019, Urk. 7/145; Telefonnot iz vom 18. September 2019, Urk. 7/151; Kündigungsschreiben vom 31.</w:t>
      </w:r>
    </w:p>
    <w:p>
      <w:r>
        <w:t>August 2019, Urk. 7/152 S. 2; Lohnangaben und Lohnabrechnungen, Urk.</w:t>
      </w:r>
    </w:p>
    <w:p>
      <w:r>
        <w:t>7/165 und Urk. 7/166).</w:t>
      </w:r>
    </w:p>
    <w:p>
      <w:r>
        <w:t>Mit Schreiben vom 19. September 2019 teilte die Suva dem Versicherten mit, dass die Übernahme der Heilkosten per sofort eingestellt werde, dies mit Ausnahme von allenfalls nötigen Kompressionshandschuhen, des laufenden Zyklus der Me di zinischen Trainingstherapie , der Kostenbeteiligung an einem Fitness-Abonne ment oder an einem Trainingsgerät , einer Hautcrème zur Aufhellung des dunkel verfärbten Narbengebietes im Bereich des linken Handgelenks und der Kosten von maximal sechs hautärztlichen Kontrollen . Ausserdem würden per Ende 2019 - nach Einräumung einer gewissen Anpassungszeit für die berufliche Umstellung auf eine gesundheitlich angepasste Tätigkeit - auch die Taggelder eingestellt</w:t>
      </w:r>
    </w:p>
    <w:p>
      <w:r>
        <w:t>(Urk.</w:t>
      </w:r>
    </w:p>
    <w:p>
      <w:r>
        <w:t>7/154 ; Telefonnotiz vom 19. September 2019, Urk. 7/160 ) . Der Versicherte, vertreten durch Rechtsanwalt Kaspar G ehring, liess mit Eingabe vom 11. Oktober 2019 sein Nichteinverständnis mit dieser Mitteilung erklären und um Erlass einer anfechtbaren Verfügung sowie um vorgängige Einsicht in die Akten ersuchen (Urk. 7/169 S. 1). Mit Verfügung vom 16. Oktober 2019 hielt die Suva fest, dass weder eine unfallbedingte erhebliche Beeinträchtigung der Erwerbsfähigkeit noch eine erhebliche Schädigung der körperlichen Integrität bestehe, weshalb der Ver sicherte weder Anspruch auf eine Invalidenrente noch Anspruch auf eine Inte gritätsentschädigung habe (Urk. 7/174). Ausserdem liess die Suva dem Rechts vertreter des Versicherten mit Schreiben vom 17. Oktober 2019 die Akten zu kommen und erbat sich dessen schriftliche Mitteilung, falls er nach wie vor eine Verfügung zur Mitteilung betreffend den Fallabschluss anbegehre (Urk. 7/180).</w:t>
      </w:r>
    </w:p>
    <w:p>
      <w:r>
        <w:rPr>
          <w:b/>
        </w:rPr>
        <w:t>E. 1.6</w:t>
      </w:r>
    </w:p>
    <w:p>
      <w:r>
        <w:t>Mit Eingabe vom 13. November 2019 liess der Versicherte gegen die Verfügung vom 16. Oktober 2019 Einsprache erheben (Urk. 7/189) und beantragen, die Ver fügung sei aufzuheben und ihm seien die gesetzlichen Leistungen zu gewähren, insbesondere vorab weitere Taggeldleistungen, später eine Invalidenrente, even tualiter seien die Taggeldleistungen per 20. Dezember 2019 zu terminieren und ab diesem Zeitpunkt die weiteren Leistungen, insbesondere eine Invalidenrente und eine Integritätsentschädigung , auszurichte n so wie weitere Heilbehandlunge n zu übernehmen (Urk. 7/189 S. 1-2).</w:t>
      </w:r>
    </w:p>
    <w:p>
      <w:r>
        <w:t>Die Rehaklinik E.___ , bei welcher die Case-Managerin des Versicherten Anfang Oktober 2019 eine berufliche Standortbestimmung in die Wege geleitet hatte, schloss den Auftrag angesichts dessen, dass die Suva mittlerweile über die An sprüche des Versicherten bereits verfügt hatte und ein Einspracheverfa hren hängig war, mit Kurzbericht vom 4. Dezember 2019 ohne Weiterungen ab ( Urk. 7/195).</w:t>
      </w:r>
    </w:p>
    <w:p>
      <w:r>
        <w:t>Im Rahmen der Behandlung der Einsprache na hm die Suva den Bericht von Dr. C.___ vom 22. Januar 2020 über eine nochmalige Konsultation zu den Akten (Urk. 7/197) und erhielt vom neu involvierten Dr. med. univ. G.___ , Spezialarzt für Orthopädische Chirurgie und Traumatologie des Bewegungsapparates, den Bericht vom 22. Februar 2020 über Konsultationen vom 12. und vom 17. Februar 2020 samt Attest zur Arbeitsfähigkeit (Urk. 7/207 S. 3-7 und S. 8). Sodann holte die Suva von Dr. F.___ die Aktenbeurteilung vom 27. August 2020 zum Inte gri tätsschaden ein (Urk. 7/210) und erliess unmittelbar danach den Einsprache ent scheid gleichen Datums, mit dem sie die Einsprache abwies (Urk. 2 = Urk. 7/211 S. 2-15 ). 2.</w:t>
      </w:r>
    </w:p>
    <w:p>
      <w:r>
        <w:t>Gegen den Einspra cheentscheid vom 27. August 2020 liess X.___ durch Rechtsanwalt Kaspar Gehring mit Eingabe vom 24. September 2020 Beschwerde erheben (Urk. 1) und die Anträge in der Einsprache wiederholen (Urk. 1 S. 2). Die Suva, vertreten durch Rechtsanwalt Dr. Beat Frischkopf, erstattete am 21. Oktober 2020 die Beschwerdeantwort und schloss auf Abweisung der Beschwerde (Urk. 6). Mit Verfügung vom 26. Oktober 2020 wurde die Beschwerdeantwort dem Be schwerdeführer zur Kenntnis gebracht (Urk. 8). Dieser liess mit Eingabe vom 19.</w:t>
      </w:r>
    </w:p>
    <w:p>
      <w:r>
        <w:t>November 2020 nochmals Stellung nehmen (Urk. 9) und einen Ber icht des Medizinisch- Radiologischen Instituts H.___ vom 20. Oktober 2020 zu einer Magnetresonanzuntersuchung des linken Unterarmes und der linken Hand einreichen (Urk. 10). Die Suva nahm die Gelegenheit, sich zu äussern, mit Eingabe vom 27. November 2020 wahr (Urk. 13), wovon der Beschwerdeführer mit Ver fügung vom 3. Dezember 2020 in Kenntnis gesetzt wurde (Urk. 14).</w:t>
      </w:r>
    </w:p>
    <w:p>
      <w:r>
        <w:t>Auf die Ausführungen der Parteien und die eingereichten Unterlagen wird, soweit erforderlich, in den Erwägungen eingegangen. Das Gericht zieht in Erwägung: 1.</w:t>
      </w:r>
    </w:p>
    <w:p>
      <w:r>
        <w:rPr>
          <w:b/>
        </w:rPr>
        <w:t>E. 6</w:t>
      </w:r>
    </w:p>
    <w:p>
      <w:r>
        <w:t>und S. 8 verglichen mit Urk. 7/110 S. 9 ). 3.2.3</w:t>
      </w:r>
    </w:p>
    <w:p>
      <w:r>
        <w:t>Der Zeitverlauf zeigt somit zunächst eine stetige Besserung durch kontinuierliche therapeutische A nstrengungen und danach ein allmähliches Stagnieren auf dem erreichten Belastungsniveau, das durch die Fortführung der Trainingstherapie ge halten werden konnte . Damit erscheint die Beurteilung von Dr. F.___ , dass mittler weile ein stabiler medizinischer Zustand erreicht sei, der sich durch die Fort setzung der Behandlung nicht mehr ents cheidend verbessern lasse (Urk. 7/136 S.</w:t>
      </w:r>
    </w:p>
    <w:p>
      <w:r>
        <w:t>9), als plausibel.</w:t>
      </w:r>
    </w:p>
    <w:p>
      <w:r>
        <w:t>An dieser Plausib i lität ändert entgegen den Vorbringen in der Beschwerdeschrift (Urk. 1 S. 4 und S. 6 ) nichts, dass die Beschwerdegegnerin dem Beschwerdeführer für die Zeit nach der Einstellung der Heil ungs kostenübernahme weiterhin die Übernahme gewisser Leistungen zusicherte. Denn eine solche Fortführung der Kostenübernahme ist unter den Voraussetzungen in Art. 21 UVG auch nach dem F allabschluss möglich, und die zugesicherten Leistungen dienten denn auch vor nehmlich der Erhaltung des erreichten Zustandes und der verbliebenen Er werbs fähigkeit entsprech end dem Anwendungsfall in Art. 21 Abs. 1 lit . c UVG . Auch der Hinweis des Beschwerdeführers, der kreisärztliche Bericht stelle die Bef unde als geringfügiger dar , als sie sich aus seiner Sicht präsentierten (Urk.</w:t>
      </w:r>
    </w:p>
    <w:p>
      <w:r>
        <w:t>1 S.</w:t>
      </w:r>
    </w:p>
    <w:p>
      <w:r>
        <w:t>6, Urk.</w:t>
      </w:r>
    </w:p>
    <w:p>
      <w:r>
        <w:t>7/189 S.</w:t>
      </w:r>
    </w:p>
    <w:p>
      <w:r>
        <w:t>5) , ist als solcher kein Indiz für die weitere namhafte Verbesser barkeit des Zustandsbildes. Ebenso wenig ergeben sich Anhaltspunkte dafür, dass Dr. F.___ im Sinne der V orbringen in d er Beschwerdeschrift (Urk. 1 S.</w:t>
      </w:r>
    </w:p>
    <w:p>
      <w:r>
        <w:rPr>
          <w:b/>
        </w:rPr>
        <w:t>E. 7</w:t>
      </w:r>
    </w:p>
    <w:p>
      <w:r>
        <w:t>.</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34 des Gesetzes über das Sozialversicherungsgericht [ GSVGer ] sowie § 8 der Verordnung über die Ge bühren, Kosten und Entschädigungen vor dem Sozialversicherungsgericht [ GebV</w:t>
      </w:r>
    </w:p>
    <w:p>
      <w:r>
        <w:t>SVGer ]) den Zeitaufwand und die Barauslagen.</w:t>
      </w:r>
    </w:p>
    <w:p>
      <w:r>
        <w:t>Der Beschwerdeführer obsiegt in Bezug auf die Integritätsentschädigung, unter liegt hingegen in Bezug auf den Fallabschluss und die Invalidenrente. Die Be deutung des Anspruchs auf eine Integritätsentschädigung ist weniger bedeutsam als diejenige der Ansprüche auf Taggelder und auf eine Invalidenrente. Unter Berüc k sichtigung dieses Umstandes sowie der Tatsache, dass sich die spezifischen Ausführungen zur Integritätsentschädigung</w:t>
      </w:r>
    </w:p>
    <w:p>
      <w:r>
        <w:t>auf rund einen Viertel der Beschwer deschrift erstrecken und dass sich die Eingabe des Beschwerdeführers vom 19.</w:t>
      </w:r>
    </w:p>
    <w:p>
      <w:r>
        <w:t>Nove m ber 2020 insofern auch auf den Anspruch auf eine Integritätsent schädigung bezieht, als damit der Bericht des Medizinisch-Radiologischen Insti tuts H.___ vom 20. Oktober 2020 zur Magnetresonanzuntersuchung des linken Unterar mes und der linken Hand ein gereicht wurde (Urk. 10), recht fertigt es sich, dem Beschwerdeführer eine reduz ierte Prozes sentschädigung von Fr. 1'100.--</w:t>
      </w:r>
    </w:p>
    <w:p>
      <w:r>
        <w:t>(inklusive Barauslagen und Mehrwertsteuer) zuzusprechen. Das Gericht erkennt: 1.</w:t>
      </w:r>
    </w:p>
    <w:p>
      <w:r>
        <w:t>In Bezug auf die Einstellung der Heilkosten und der Taggelder sowie in Bezug auf den fehlenden Anspruch auf eine Invalidenrente wird die Beschwerde abgewiesen. In Bezug auf den Anspruch auf eine Integritätsentschädigung wird der angefochtene Einsprache entscheid vom 27. August 2020 in teilweiser Gutheissung der Beschwerde aufgehoben, und die Sache wird an die Suva zurückgewiesen, damit sie die erforderlichen Ab klärungen im Sinne der Erwägungen treffe und hernach über den Anspruch neu verfüge. 2.</w:t>
      </w:r>
    </w:p>
    <w:p>
      <w:r>
        <w:t>Das Verfahren ist kostenlos. 3.</w:t>
      </w:r>
    </w:p>
    <w:p>
      <w:r>
        <w:t>Die Beschwerdegegnerin wird verpflichtet, dem Beschwerdeführer eine reduzierte Pro zess ent schädigung von Fr. 1'100.-- (inklusive Barauslagen und Mehrwertsteuer ) zu bezahlen. 4.</w:t>
      </w:r>
    </w:p>
    <w:p>
      <w:r>
        <w:t>Zustellung gegen Empfangsschein an: - Rechtsanwalt Kaspar Gehring unter Beilage einer Kopie von Urk. 15 - Rechtsanwalt Dr. Beat Frischkopf unter Beilage einer Kopie von Urk. 15 -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