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UV.2020.00190 vom 6. April 2021</w:t>
      </w:r>
    </w:p>
    <w:p>
      <w:r>
        <w:t>ZH Sozialversicherungsgericht, 2021-04-06, DE</w:t>
      </w:r>
    </w:p>
    <w:p>
      <w:r>
        <w:rPr>
          <w:b/>
        </w:rPr>
        <w:t xml:space="preserve">Quelle: </w:t>
      </w:r>
      <w:r>
        <w:t>https://mcp.opencaselaw.ch/entscheid/zh_sozialversicherungsgericht_UV.2020.00190</w:t>
      </w:r>
    </w:p>
    <w:p>
      <w:r>
        <w:t>FR: ZH_SOZIALVERSICHERUNGSGERICHT UV.2020.00190 du 6 avril 2021</w:t>
      </w:r>
    </w:p>
    <w:p>
      <w:r>
        <w:t>IT: ZH_SOZIALVERSICHERUNGSGERICHT UV.2020.00190 del 6 aprile 2021</w:t>
      </w:r>
    </w:p>
    <w:p>
      <w:pPr>
        <w:pStyle w:val="Heading2"/>
      </w:pPr>
      <w:r>
        <w:t>Erwägungen</w:t>
      </w:r>
    </w:p>
    <w:p>
      <w:r>
        <w:rPr>
          <w:b/>
        </w:rPr>
        <w:t>E. 1</w:t>
      </w:r>
    </w:p>
    <w:p>
      <w:r>
        <w:t>X.___ , geboren1968, war bei der AXA Versicherungen AG (nachstehend AXA) obligatorisch unfallversichert, als er am 1 2. Juli 2013 mit dem Fahrrad in ein Tramgeleise geriet und auf das linke Handgelenk stürzte (Urk. 10 /A1).</w:t>
      </w:r>
    </w:p>
    <w:p>
      <w:r>
        <w:t>Mit Verfügung vom 3. April 2019 stellte die AXA die bisher erbrachten Leistun gen ein, sprach dem Versicherten eine Integritätsentschädigung entsprechend einer Integritätseinbusse von 15 % zu und verneinte bei einem Invaliditätsgrad von 4 % einen Rentenanspruch ( Urk. 10 /A139). Die vom Versicherten am 2 7. Mai 2019 erhobene Einsprache ( Urk. 9/A154) wies sie mit Einspracheentscheid vom 1 0. Juli 2020 im Sinne der Erwägungen ab (Urk. 10 /A 170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 2. Juli 2013 ereignet, weshalb die bis 31. Dezember 2016 gültig gewesenen Normen auf den vorliegenden Fall Anwendung finden und in dieser Fassung zitiert werden.</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das Sozialversiche rungsgericht; ATSG). Zur Bestimmung des Invaliditätsgrades wird gemäss Art. 16 ATSG das Erwerbseinkommen, das die versicherte Person nach Eintritt der (unfallbedingten) Invalidität und nach Durchführung der medizinischen Behand lung und allfälliger Eingliederungsmassnahmen durch eine ihr zumutbare Tätig keit bei ausgeglichener Arbeitsmarktlage erzielen könnte (sog. Invalideneinkom men), in Beziehung gesetzt zum Erwerbseinkommen, das sie erzielen könnte, wenn sie nicht invalid geworden wäre (sog. Valideneinkommen ).</w:t>
      </w:r>
    </w:p>
    <w:p>
      <w:r>
        <w:rPr>
          <w:b/>
        </w:rPr>
        <w:t>E. 1.3</w:t>
      </w:r>
    </w:p>
    <w:p>
      <w:r>
        <w:t>Der Rentenanspruch entsteht, wenn von der Fortsetzung der ärztlichen Behandlung keine namhafte Besserung des Gesund heitszustandes mehr erwartet werden kann und allfällige Eingliederungsmass nahmen der Invalidenversicherung abgeschlossen sind. Mit dem Rentenbeginn fallen die Heilbehandlung und die Taggeldleistungen dahin (Art. 19 Abs. 1 UVG).</w:t>
      </w:r>
    </w:p>
    <w:p>
      <w:r>
        <w:rPr>
          <w:b/>
        </w:rPr>
        <w:t>E. 1.4</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 sondere auf BGE 134 V 109 E. 4.3; vgl. auch Urteil 8C_639/2014 vom 2. Dezem ber 2014 E. 3).</w:t>
      </w:r>
    </w:p>
    <w:p>
      <w:r>
        <w:rPr>
          <w:b/>
        </w:rPr>
        <w:t>E. 1.5</w:t>
      </w:r>
    </w:p>
    <w:p>
      <w:r>
        <w:t>Zur Bestimmung des Invaliditätsgrades wird gemäss Art. 16 ATSG das Erwerbs einkommen, das die versicherte Person nach Eintritt der (unfallbedingten) Inva lidität und nach Durchführung der medizinischen Behandlung und allfälliger Ein gliederungsmassnahmen durch eine ihr zumutbare Tätigkeit bei ausgeglichener Arbeitsmarktlage erzielen könnte (sog. Invalideneinkommen), in Beziehung gesetzt zum Erwerbseinkommen, das sie erzielen könnte, wenn sie nicht invalid geworden wäre (sog. Valideneinkommen ). 1.</w:t>
      </w:r>
    </w:p>
    <w:p>
      <w:r>
        <w:rPr>
          <w:b/>
        </w:rPr>
        <w:t>E. 1.7</w:t>
      </w:r>
    </w:p>
    <w:p>
      <w:r>
        <w:t>Für die Festsetzung des Invalideneinkommens können , wenn die versicherte Per son nach Eintritt des Gesundheitsschadens keine oder jedenfalls keine ihr an sich zumutbare neue Erwerbstätigkeit aufgenommen hat,</w:t>
      </w:r>
    </w:p>
    <w:p>
      <w:r>
        <w:t>nach der Rechtsprechung Tabellenlöhne gemäss der vom Bundesamt für Statistik periodisch herausgegebe nen Schweizerischen Lohnstrukturerhebung (LSE) herangezogen werden</w:t>
      </w:r>
    </w:p>
    <w:p>
      <w:r>
        <w:t>(BGE 139 V 592 E. 2.3 ).</w:t>
      </w:r>
    </w:p>
    <w:p>
      <w:r>
        <w:rPr>
          <w:b/>
        </w:rPr>
        <w:t>E. 1.8</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 2.</w:t>
      </w:r>
    </w:p>
    <w:p>
      <w:r>
        <w:rPr>
          <w:b/>
        </w:rPr>
        <w:t>E. 2</w:t>
      </w:r>
    </w:p>
    <w:p>
      <w:r>
        <w:t>Gegen den Einspracheentscheid vom 1 0. Juli 2020 ( Urk. 2) erhob der Versicherte am 1 1. September 2020 Beschwerde mit den Anträgen ( Urk. 1 S. 2 Ziff. I), dieser sei aufzuheben ( Ziff. 1), die Beschwerdegegnerin sei zu verpflichten, ihm weiter hin Pflegeleistungen zu vergüten und Taggeldleistungen zu erbringen, und ab Erreichen des medizinischen Endzustands eine ganze unbefristete Invalidenrente zuzusprechen ( Ziff. 2), sowie ihm eine Integritätsentschädigung entsprechend einer Integritätseinbusse von 30 % zu bezahlen ( Ziff. 3). Ferner sei eine polydis ziplinäre Begutachtung zu veranlassen ( Ziff. II).</w:t>
      </w:r>
    </w:p>
    <w:p>
      <w:r>
        <w:t>Die AXA beantragte mit Beschwerdeantwort vom 1 9. November 2020 ( Urk. 8) die Abweisung der Beschwerde. Am 1 1. Januar 2021 erstat tete der Beschwerdefüh rer - unaufgefordert - eine Replik ( Urk. 15). Am 1 6. März 2021 erstattete die Beschwerdegegnerin eine Duplik ( Urk. 19 ).</w:t>
      </w:r>
    </w:p>
    <w:p>
      <w:r>
        <w:rPr>
          <w:b/>
        </w:rPr>
        <w:t>E. 2.1</w:t>
      </w:r>
    </w:p>
    <w:p>
      <w:r>
        <w:t>Die Beschwerdegegnerin ging im angefochtenen Entscheid ( Urk. 2) davon aus, aus näher dargelegten Gründen sei der medizinische Endzustand erreicht (S. 5 Ziff. 2.3.2.5). Aufgrund des Einkommensvergleichs resultiere ein Invaliditätsgrad von 2.8 % , womit kein Rentenspruch bestehe (S. 9 Ziff. 2.3.4.15). Der Integritäts schaden sei vom beratenden Arzt Dr. Y.___</w:t>
      </w:r>
    </w:p>
    <w:p>
      <w:r>
        <w:t>begründeterweise mit 15 % beziffert worden, woran festzuhalten sei (S. 10 Ziff. 2.3.5.3).</w:t>
      </w:r>
    </w:p>
    <w:p>
      <w:r>
        <w:rPr>
          <w:b/>
        </w:rPr>
        <w:t>E. 2.2</w:t>
      </w:r>
    </w:p>
    <w:p>
      <w:r>
        <w:t>Der Beschwerdeführer stellte sich demgegenüber auf den Standpunkt ( Urk. 1), gegen die Zuverlässigkeit der Stellungnahmen von Dr. Y.___ bestünden aus näher dargelegten Gründen starke Indizien (S. 7 lit . i). Dadurch, dass die Beschwerdegegnerin dennoch keine zusätzliche Beurteilung veranlasst habe, habe sie sein en Gehörsanspruch verletzt (S. 9 lit . n). Auch habe die Beschwerde gegnerin aus näher dargelegten Gründen den Sachverhalt falsch und unvollstän dig festgestellt (S. 10 ff.). Der medizinische Endzustand sei noch nicht erreicht (S. 11 lit . e). Die behauptete volle Arbeitsfähigkeit in angepasster Tätigkeit sei nicht schlüssig (S. 11 f.). Die Beschwerdegegnerin habe es zu Unrecht unterlassen, bei der Bemessung des Invalideneinkommens näher genannte (ausdrücklich als sol che bezeichnete) invaliditätsfremde Faktoren zu berücksichtigen (S. 12 lit . h). Die dem Belastungsprofil entsprechenden Verweistätigkeiten seien ihm nicht zumut bar (S. 13 ff.) und es sei jedenfalls der maximale Leidensabzug von 25 % zu berücksichtigen (S. 15 lit . n). Der Integritätsschaden sei mit mindestens 30 % zu beziffern (S. 15 f. lit . p). Die entscheidenden Kernpunkte für die Verweigerung einer Rente seien nicht einmal ansatzweise behandelt worden; der Entscheid sei deshalb wegen Verletzung der Begründungspflicht aufzuheben (S. 16 f.).</w:t>
      </w:r>
    </w:p>
    <w:p>
      <w:r>
        <w:rPr>
          <w:b/>
        </w:rPr>
        <w:t>E. 2.3</w:t>
      </w:r>
    </w:p>
    <w:p>
      <w:r>
        <w:t>Strittig sind der Zeitpunkt des Fallabschlusses, ein allfälliger Rentenanspruch und die Höhe der Integritätsentschädigung. 3.</w:t>
      </w:r>
    </w:p>
    <w:p>
      <w:r>
        <w:rPr>
          <w:b/>
        </w:rPr>
        <w:t>E. 3</w:t>
      </w:r>
    </w:p>
    <w:p>
      <w:r>
        <w:t>Das ebenfalls den Beschwerdeführer betreffende Verfahren Nr. IV.2020.00345 wurde mit Urteil vom heutigen Tag abgeschlossen. Das Gericht zieht in Erwägung: 1.</w:t>
      </w:r>
    </w:p>
    <w:p>
      <w:r>
        <w:rPr>
          <w:b/>
        </w:rPr>
        <w:t>E. 3.1</w:t>
      </w:r>
    </w:p>
    <w:p>
      <w:r>
        <w:t>Am 1 2. Juli 201 3 geriet der Beschwerdeführer mit dem Fahrrad in ein Tramgeleise und stürzte auf das linke Handgelenk ( Urk. 10/A1).</w:t>
      </w:r>
    </w:p>
    <w:p>
      <w:r>
        <w:t>Laut Bericht der Ärzte der Z.___ vom 2 5. Juli 2013 (Urk. 9/M1) stellte sich der Beschwerdeführer 10 Tage nach dem Unfallereignis zur Verlaufskontrolle vor und es wurde folgende Diagnosen genannt (S. 1): - Handgelenksdistorsion links - Verdacht auf Fraktur der 1 0. Rippe links lateral</w:t>
      </w:r>
    </w:p>
    <w:p>
      <w:r>
        <w:t>Nach erfolgter Bildgebung nannten die Ärzte der Z.___ mit Bericht vom 1 3. August 2013 ( Urk. 9/M3) als Diagnose eine foveale Läsion TFCC (t riangulärer fibrokartilaginärer Komplex )</w:t>
      </w:r>
    </w:p>
    <w:p>
      <w:r>
        <w:t>links (S. 1 Mitte).</w:t>
      </w:r>
    </w:p>
    <w:p>
      <w:r>
        <w:t>Am 8. Oktober 2013 erfolgte ein operativer Eingriff am linken Handgelenk (Urk. 9/M10).</w:t>
      </w:r>
    </w:p>
    <w:p>
      <w:r>
        <w:t>Mit Bericht vom 1 8. Februar 2014 ( Urk. 9/M23) führten die Ärzte der Z.___ aus, im Bereich des DRUG (distales Radioulnargelenk ) bestün den weiterhin Beschwerden, als Hilfskoch s ei der Patient weiterhin zu 100 % arbeitsunfähig (S. 2 oben).</w:t>
      </w:r>
    </w:p>
    <w:p>
      <w:r>
        <w:t>Am 1 5. April 2014 erfolgten eine Handgelenksarthroskopie, eine Ulnaverkür zungsosteotomie , ein TFC- Débridement sowie Naht und Rekonstruktion links ( Urk. 9/M29 S. 1 Mitte).</w:t>
      </w:r>
    </w:p>
    <w:p>
      <w:r>
        <w:t>Am 2 3. September 2014 wurde eine Handgelenksprothese implantiert ( Urk. 9/M38 S. 1 Mitte) .</w:t>
      </w:r>
    </w:p>
    <w:p>
      <w:r>
        <w:rPr>
          <w:b/>
        </w:rPr>
        <w:t>E. 3.2</w:t>
      </w:r>
    </w:p>
    <w:p>
      <w:r>
        <w:t>Mit Bericht vom 1 4. November 2014 ( Urk. 9/M43 ) nannten die Ärzte der Z.___ folgende Diagnosen (S. 1 Mitte): Status nach Implantation Totalprothese DRUG und Metallentfernung ulnar links am 2 3. September 2014 bei - DRUG-Arthrose und Stabilität (richtig wohl: Instabilität) - Status nach Ulnarverkürzungsosteotomie und TFC- Rekonstruk - tion links bei chronischer DRUG-Instabilität nach TFC-Ruptur und DRUG-Arthrose links.</w:t>
      </w:r>
    </w:p>
    <w:p>
      <w:r>
        <w:t>Prinzipiell sollte eine Wiederaufnahme als Hilfskoch möglich sein (S. 2 oben).</w:t>
      </w:r>
    </w:p>
    <w:p>
      <w:r>
        <w:t>Am 1. Dezember 2015 wurde eine Exstirpation eines Ganglions am Handgelenk links dorsal zentral vorgenommen ( Urk. 9/M55 ).</w:t>
      </w:r>
    </w:p>
    <w:p>
      <w:r>
        <w:t>Am 1 9. April 2016 wurde eine radio l unäre</w:t>
      </w:r>
    </w:p>
    <w:p>
      <w:r>
        <w:t>Arthrodese und Beckenkammspon giosa vorgenommen ( Urk. 9/M62 S. 1 Mitte ).</w:t>
      </w:r>
    </w:p>
    <w:p>
      <w:r>
        <w:t>Mit Bericht vom 1 1. Juli 2016 ( Urk. 9/M70 ) führten die Ärzte der Z.___ aus, am Handgelenk und Beckenkamm bestehe eine schmerzakzen tuierte postoperative Situation (S. 1 unten). Es sei eine Umschulung jetzt schon ins Auge zu fassen (S. 2 oben).</w:t>
      </w:r>
    </w:p>
    <w:p>
      <w:r>
        <w:t>Mit Bericht vom 5. Oktober 2016 ( Urk. 9/M81 ) führten die Ärzte der Z.___ aus, aus handchirurgischer Sicht sei der Verlauf stationär. Eine Umschulung sei empfehlenswert, da die linke Hand auch in Zukunft nur für unbelastete Tätigkeiten eingesetzt werden könne (S. 2 Mitte).</w:t>
      </w:r>
    </w:p>
    <w:p>
      <w:r>
        <w:rPr>
          <w:b/>
        </w:rPr>
        <w:t>E. 3.3</w:t>
      </w:r>
    </w:p>
    <w:p>
      <w:r>
        <w:t>Mit Bericht vom 6. Mai 2017 ( Urk. 9/M94 ) führten die Ärzte der Z.___ aus , d as Handgelenk betreffend bestehe ein chronisches Schmerzsyn drom, weitere operative Behandlungen könnten sie dem Patienten momentan nicht anbieten (S. 2 Mitte).</w:t>
      </w:r>
    </w:p>
    <w:p>
      <w:r>
        <w:t>Mit Bericht vom 1 0. Juli 2017 ( Urk. 9/M98 ) führten die Ärzte der Z.___ aus, es bestünden nach wie vor massivste Schmerzen. Sollte sich nach letztmaliger Infiltration eine (richtig wohl: keine) deutliche Beschwerdenbesse rung zeigen, wäre gegebenenfalls lediglich operativ noch eine Handgelenksarth rodese möglich (S. 2 Mitte).</w:t>
      </w:r>
    </w:p>
    <w:p>
      <w:r>
        <w:rPr>
          <w:b/>
        </w:rPr>
        <w:t>E. 3.4</w:t>
      </w:r>
    </w:p>
    <w:p>
      <w:r>
        <w:t>Dr. Y.___ , Facharzt für Chirurgie und beratender Arzt der Beschwerde gegnerin , erstattete am 1 7. Juli 2017 einen Bericht über seine chirurgisch-trau matologische Untersuchung ( Urk. 9/M97 ). Er führte aus, es zeige sich bei gerings ter Bewegung ein stark schmerzhaftes linkes Handgelenk. Die Funktion der linken Hand sei dadurch stark eingeschränkt. Eine gewisse Restfunktion bestehe nur bei Ruhigstellung des Handgelenks in der Schiene (S. 8 Mitte).</w:t>
      </w:r>
    </w:p>
    <w:p>
      <w:r>
        <w:t>Als Hilfskoch bestehe keine Arbeitsfähigkeit mehr, für die Tätigkeit als Zeitungs verträger bestehe im Pensum von 18 % keine Einschränkung. (S. 7 Ziff. 4).</w:t>
      </w:r>
    </w:p>
    <w:p>
      <w:r>
        <w:t>Für eine leidensangepasste Tätigkeit bestehe ab dem Untersuchungstag vom 17. Juli 2017 unter Beachtung des Belastungsprofils wieder eine volle Arbeitsfä higkeit (S. 8 Ziff. 5.1). Das Belastungsprofil umschrieb er wie folgt: «Für die linke Hand sind nur sehr leichte Tätigkeiten, ohne repetitive Umwendbewegungen , ohne festes Zupacken mit einem Gewichtslimit von 2 kg zumutbar. Es entfallen alle Tätigkeiten, die mit dem Besteigen von Leitern und Gerüsten wegen der erhöhten Absturzgefahr verbunden sind, und Tätigkeiten an stossenden, schla genden und vibrierenden Maschinen sind ebenfalls nicht zumutbar. Tätigkeiten, die höhere Ansprüche an die Feinmotorik der linken Hand stellen sind , ebenfalls zu vermeiden.» (S. 8 Ziff. 5.2).</w:t>
      </w:r>
    </w:p>
    <w:p>
      <w:r>
        <w:t>Eine Beschwerdeminderung und im besten Fall eine Beschwerdefreiheit könne ausschliesslich durch eine Arthrodese des Handgelenks erreicht werden. Die Prog nose dahingehend sei gut. Die Einschränkung der Gebrauchsfähigkeit der Hand werde nach dieser Operation voraussichtlich deutlich weniger gravierend ausfal len als bei der heutigen Untersuchung. Mit einem Endzustand nach Arthrodese sei bei gutem Heilungsverlauf nach 6-9 Monaten nach der Operation zu rechnen ( S.</w:t>
      </w:r>
    </w:p>
    <w:p>
      <w:r>
        <w:rPr>
          <w:b/>
        </w:rPr>
        <w:t>E. 3.5</w:t>
      </w:r>
    </w:p>
    <w:p>
      <w:r>
        <w:t>Mit Bericht vom 1 8. August 2017 ( Urk. 9/M99 ) führten die Ärzte der Z.___ aus, es bestehe unverändert ein stark ausgeprägter Leidens druck bei unter Belastung exazerbierenden Schmerzen. Bei 50%ige m Ansprechen auf die in der diagnostischen Phase durchgeführte Infiltration könne ein massgeb licher Teil der Symptomatik dem Radiokarpalgelenk zugeschrieben wer den. Aufgrund dessen werde die Indikation zur Handgelenksarthrodese gestellt und es sei ein entsprechender Operationstermin vereinbart worden (S. 2 Mitte).</w:t>
      </w:r>
    </w:p>
    <w:p>
      <w:r>
        <w:rPr>
          <w:b/>
        </w:rPr>
        <w:t>E. 3.6</w:t>
      </w:r>
    </w:p>
    <w:p>
      <w:r>
        <w:t>Am 2 6. September 2017 wurde die in Aussicht genommene Panarthrodese des linken Handgelenks vorgenommen ( Urk. 9/M100 S. 1 unten).</w:t>
      </w:r>
    </w:p>
    <w:p>
      <w:r>
        <w:t>Mit Bericht vom 2 8. Dezember 2017 ( Urk. 9/M109 ) führten die Ärzte der Z.___ aus, es zeige sich drei Monate postoperativ noch ein leicht protrahierter Verlauf, und sie empfahlen die Mobilisation mit Hilfe von Ergo- und Physiotherapie (S. 2 oben).</w:t>
      </w:r>
    </w:p>
    <w:p>
      <w:r>
        <w:t>Mit Bericht vom 2 3. Oktober 2018 ( Urk. 9/M123 ) nannte die Ärzte der Z.___ als Diagnose einen Status nach Dekompression Sulcus</w:t>
      </w:r>
    </w:p>
    <w:p>
      <w:r>
        <w:t>ulnaris offen links, Osteosynthesematerialentfernung (OSME) Handgelenk links, sowie Arthrodese</w:t>
      </w:r>
    </w:p>
    <w:p>
      <w:r>
        <w:t>hamato-triquetral sowie hamato-capital am 2. Oktober 2018 (S. 1 Mitte). Es zeige sich ein regelrechter postoperativer Verlauf (S. 2 oben).</w:t>
      </w:r>
    </w:p>
    <w:p>
      <w:r>
        <w:t>Dies führten sie auch mit Bericht vom 7. Dezember 2018 drei Monate postoperativ aus ( Urk. 9/M124 S. 2 oben).</w:t>
      </w:r>
    </w:p>
    <w:p>
      <w:r>
        <w:t>Mit Bericht vom 6. Februar 2019 ( Urk. 9/M126 = Urk. 9/M131/4 ) nannten sie wieder einen regelrechten Verlauf 5 Monate postoperativ. Bezüglich des schmerz hafte n CMC</w:t>
      </w:r>
    </w:p>
    <w:p>
      <w:r>
        <w:t>I II-Gelenkes seien sie abwartend, und gegenüber weiteren operativen Massnahmen seien sie sehr zurückhaltend eingestellt (S. 2 Mitte). 3. 7</w:t>
      </w:r>
    </w:p>
    <w:p>
      <w:r>
        <w:t>Dr. Y.___ (vorstehend E. 3. 4 ) führte mit Bericht vom 2 5. Februar 2019 über seine chirurgisch- traumatologische Untersuchung ( Urk. 9/M128 ) aus, bei der heutigen Untersuchung zeige sich ein gegenüber der letzten Untersuchung deutlich gebes serter Befund. Die Funktion der linken Hand werde stark eingeschränkt gezeigt. Bei der Funktionsuntersuchung falle auf, dass der Versicherte angeblich nicht in der Lage sei, einen kompletten Faustschluss zu zeigen. Die Beweglichkeit in allen Fingergelenken sei jedoch passiv frei. Hier müsse eine massive Selbstlimitierung vermutet werden, da der Versicherte beim Über-Kopf-Ausziehen des Sweatshirts beide Hände benutze und beim Ausziehen des rechten Ärmels die linke Hand dafür einsetze. Zumindest der Pinchgriff werde dabei mit deutlich sichtbarem Kraftaufwand eingesetzt. Die eingeschränkte Beweglichkeit im linken Ellenbo gengelenk und im linken Schultergelenk sei einem massiven Trainingsmangel geschuldet. Der Versicherte gebe selbst zu, dass er ausserhalb der Ergotherapie- und der Physiotherapiebehandlung selbst keinerlei Übungen zu Hause durchge führt habe. Er gehe spazieren oder sitze zu Hause herum (S. 11 oben).</w:t>
      </w:r>
    </w:p>
    <w:p>
      <w:r>
        <w:t>Aufgrund des dokumentierten Verlaufs und der Ergebnisse der chirur gisch/ traumatologischen Untersuchung bestehe weiterhin für die bisherige Tätig keit als Hilfskoch keine Arbeitsfähigkeit und es werde auch voraussichtlich keine Arbeitsfähigkeit mehr erreichbar sein. Für eine leidensangepasste Tätigkeit besteh e weiterhin unter Beachtung des Belastungsprofils eine volle Arbeitsfähig keit. Die Tätigkeit als Zeitungsverträger könne als leidensangepasst gesehen wer den und sei mit einem Pensum von 18 % zumutbar (S. 11 Ziff. 5.1).</w:t>
      </w:r>
    </w:p>
    <w:p>
      <w:r>
        <w:t>Das Belastungsprofil formulierte Dr. Y.___ wie folgt: «Für die linke Hand sind nur sehr leichte Tätigkeiten, ohne repetitive Umwendbewegungen , ohne festes Zupacken mit einem Gewichtslimit von 5 kg zumutbar. Es entfallen alle Tätigkei ten, die mit dem Besteigen von Leitern und Gerüsten wegen der erhöhten Absturzgefahr verbunden sind, und Tätigkeiten an stossenden, schlagenden und vibrierenden Maschinen sind ebenfalls nicht zumutbar. Tätigkeiten, die höhere Ansprüche an die Feinmotorik der linken Hand stellen, sind ebenfalls zu vermei den. Die linke Hand ist inzwischen jedoch sehr gut als Hilfshand einzusetzen.» (S. 11 Ziff. 5.2).</w:t>
      </w:r>
    </w:p>
    <w:p>
      <w:r>
        <w:t>Inzwischen sei ein Endzustand erreicht. Von weiteren Behandlungen könne keine namhafte Besserung mehr erwartet werden. Insbesondere erscheine es inzwischen als nicht mehr zielführend, Physiotherapie und Ergotherapie weiterzuführen. Bei dem Versicherten fehle die nötige Compliance für die Notwendigkeit der Eigen beübung , und somit sei eine Weiterführung der Therapie sinnlos (S. 11 Ziff. 5.3).</w:t>
      </w:r>
    </w:p>
    <w:p>
      <w:r>
        <w:t>Es liege eine unfallbedingte Einschränkung einer Körperfunktion vor, welche die entschädigungspflichtige Erheblichkeitsgrenze gemäss Art. 24 UVG erreiche. Gemäss Feinrastertabelle 1, Funktionsstörungen an den oberen Extremitäten, müsse hier als Referenzwert die völlige Gebrauchsunfähigkeit eines Arms heran gezogen werden, die mit 50 % bewertet werde. Es ergebe sich also in Relation hierzu ein entschädigungspflichtiger Integritätsschaden von 15 % (S. 11 Ziff. 5.4).</w:t>
      </w:r>
    </w:p>
    <w:p>
      <w:r>
        <w:t>Die Prognose sei schlecht, beim Versicherten fehle es an der nötigen Compliance für die Notwendigkeit einer intensiven Selbstbeübung . Ihm sei ausserdem nicht verständlich zu machen, dass für eine erfolgreiche Suche auf dem Arbeitsmarkt gute Deutschkenntnisse unabdingbar seien. Er lebe seit 18 Jahren in der Schweiz, sei Schweizer Staatsbürger und spreche immer noch schlecht Deutsch. Er scheine sich auch mit seiner Behinderung gut eingerichtet zu haben, im Haushalt werde ihm von seiner Frau und seinen Kindern alles abgenommen. Alle diese Faktoren zusammengenommen stünden einer erfolgreichen Arbeitssuche diametral entge gen. Lediglich die traumatologische Prognose sei gut. Die Arthrodese sei fest und somit wäre das Handgelenk belastbar (S. 12 Ziff. 7). 3. 8</w:t>
      </w:r>
    </w:p>
    <w:p>
      <w:r>
        <w:t>Mit Bericht vom 9. August 2019 ( Urk. 9/M131/3) führten die Ärzte der Z.___ aus, aufgrund der persistierenden Schmerzen im CMC III Gelenk sei eine Infiltration erfolgt (S. 2 Mitte).</w:t>
      </w:r>
    </w:p>
    <w:p>
      <w:r>
        <w:t>Mit Bericht vom 2 8. November 2019 ( Urk. 9/M131/1) führten sie aus, in der neu rographischen Untersuchung hätten sich normale Werte des Nervus</w:t>
      </w:r>
    </w:p>
    <w:p>
      <w:r>
        <w:t>ulnaris gezeigt, jedoch eine Luxation desselben über den Epicondylus</w:t>
      </w:r>
    </w:p>
    <w:p>
      <w:r>
        <w:t>medialis bei maximaler Flexion im Ellbogen, wofür vorerst eine Therapie mit einer Ellbogen manschette vorgesehen sei. Eine Verlaufskontrolle sei in 6 Monaten geplant, der Patient werde bis auf Weiteres zu 80 % arbeitsunfähig geschrieben (S. 2 Mitte). 3.</w:t>
      </w:r>
    </w:p>
    <w:p>
      <w:r>
        <w:rPr>
          <w:b/>
        </w:rPr>
        <w:t>E. 6</w:t>
      </w:r>
    </w:p>
    <w:p>
      <w:r>
        <w:t>Der Begriff des ausgeglichenen Arbeitsmarktes gemäss Art. 16 ATSG ist ein theoretischer und abstrakter Begriff, welcher die konkrete Arbeitsmarktlage nicht berücksichtigt und dazu dient, den Leistungsbereich der Invalidenversicherung von jenem der Arbeitslosenversicherung abzugrenzen (BGE 134 V 64 E. 4.2.1, BGE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 fähigkeit zu verwerten, und ob sie ein rentenausschliessendes Einkommen zu erzielen vermag oder nicht (BGE 110 V 273 E. 4b; Meyer/ Reichmuth , Bundesge setz über die Invalidenversicherung, 3. Auflage 2014, Rn 131 zu Art. 28a).</w:t>
      </w:r>
    </w:p>
    <w:p>
      <w:r>
        <w:rPr>
          <w:b/>
        </w:rPr>
        <w:t>E. 9</w:t>
      </w:r>
    </w:p>
    <w:p>
      <w:r>
        <w:t>/ M 124), führte er aus, d as ständige Tragen einer Schiene sei sicher nicht mehr notwendig gewesen , dies beleg e der erhobene Untersuchungsbefund. Durch die « konsequente » Schienen therapie in Eigenregie, ohne die Empfehlung der Z.___ einzuhalten, sei eine weitere Verbesserung durch den Beschwerdeführer sicher verhindert wor den ( Ziff. 1). D as Tragen einer Schiene über das notwendige Mass hinaus sei aus medizinischer Sicht von bedeutendem Nachteil. Die Muskulatur nehme dadurch ab und die Beweglichkeit in den nicht versteiften Gelenken verminder e sich dadurch zusehends ( Ziff. 2).</w:t>
      </w:r>
    </w:p>
    <w:p>
      <w:r>
        <w:t>D urch das dauernde Tragen der Schiene verschlech tere sich die Gesamtsituation und damit auch die Arbeitsfähigkeit in einer lei densangepassten Tätigkeit. Die Gewichtslimiten</w:t>
      </w:r>
    </w:p>
    <w:p>
      <w:r>
        <w:t>gingen nach unten, die Geschick lichkeit der Hand nehme ab ( Ziff. 3).</w:t>
      </w:r>
    </w:p>
    <w:p>
      <w:r>
        <w:t>B ei angelegter Schiene verminder e sich das Gewichtslimit nicht wesentlich, auf grund der abnehmenden Muskulatur jedoch ohne Anlegen der Schiene um zirka die Hälfte gegenüber einem trainierten Unterarm</w:t>
      </w:r>
    </w:p>
    <w:p>
      <w:r>
        <w:t>respektive einer untrainierten Hand beim Zustand nach den erfolg ten Operationen. Tätigkeiten, die eine kraftvolle Umwendbewegung im Bereich des Unterarms verlang t en, könn t en nicht aus geführt werden. D as im Feb ruar 2019 formulierte Zumutbarkeitsprofil habe ferner weiterhin Gültigkeit. Auch mit Schiene sei die Hand weiterhin gut als Hilfshand einzusetzen. Aufgrund der Schiene sei nicht mit einer Einschränkung des zeitlichen Limits und auch nicht m it vermehrten Pausen zu rechnen ( Ziff. 4). 4. 4.1</w:t>
      </w:r>
    </w:p>
    <w:p>
      <w:r>
        <w:t>Die vermeintlich formellen Rügen des Beschwerdeführers (Gehörsverletzung, fal sche und unvollständige Sachverhaltsfeststellung, Verletzung der Begründungs pflicht) beruhen weitestgehend darauf, dass er mit dem Inhalt der ärztlichen Beurteilung durch Dr. Y.___ , auf welche sich die Beschwerdegegnerin gestützt hat, nicht einverstanden ist. Sie gehör en daher zu r materiellen Prüfung de s angefochtenen Entscheides . 4.2</w:t>
      </w:r>
    </w:p>
    <w:p>
      <w:r>
        <w:t>Was das Erreichen des medizinischen Endzustands anbelangt ( Urk. 1 S. 6 lit . e), verkennt der Beschwerdeführer, dass es nicht darauf ankommt, ob noch irgend welche therapeutischen Bemühungen unternommen werden, sondern darauf, dass diese eine namhafte Besserung erwarten lassen müssen, was sich wiederum auf eine Steigerung der unfallbedingt beeinträchtigten Arbeitsfähigkeit bezieht (vor stehend E. 1.4).</w:t>
      </w:r>
    </w:p>
    <w:p>
      <w:r>
        <w:t>Mithin ist der medizinische Endzustand im vorliegenden Fall i n de m Zeitpunkt eingetreten, ab welchem weitere therapeutische Bemühungen nicht mehr erwar ten liessen, dass eine Arbeitsfähigkeit für ein weniger restriktiver formuliertes Belastungsprofil als das aktuell festgehaltene (vorstehend E. 3. 7 ) erlangt werden könnte. Dies war gemäss der schlüssig begründeten Feststellung von Dr. Y.___ im Februar 2019 der Fall. Dass danach von behandelnder Seite noch eine Verla gerung des N. ulnaris in Erwägu ng gezogen wurde (vorstehend E. 3. 8 ), ändert daran - entgegen der Annahme des Beschwerdeführers ( Urk. 1 S. 10 lit . c) - nichts, denn damit wurde lediglich eine Verbesserung der Schmerzproblematik inten diert, ohne dass dies die bereits festgestellte eingeschränkte Gebrauchsfähigkeit der linken Hand beeinflusst hätte. Der hypothetische Charakter der betreffenden therapeutischen Überlegungen zeigt sich im Übrigen auch daran, dass vorerst lediglich eine Ellbogenmanschette verordnet und eine erneute Kontrolle erst nach Ablauf von 6 Monaten geplant wurde. 4. 3</w:t>
      </w:r>
    </w:p>
    <w:p>
      <w:r>
        <w:t>Was vom Beschwerdeführer hinsichtlich der attestierten Arbeitsfähigkeit als widersprüchlich gerügt wurde, gründet darin, dass Dr. Y.___ - anders als der Beschwerdeführer - klar zwischen der Arbeitsfähigkeit in der angestammten Tätigkeit als Hilfskoch und derjenigen in einer leidensangepassten Tätigkeit unterschieden ha t . In der angestammten Tätigkeit bestand seit dem Unfall eine Arbeitsunfähigkeit von 100 % , darin stimmten die Ärzte der Z.___ und Dr. Y.___ überein. 4. 4</w:t>
      </w:r>
    </w:p>
    <w:p>
      <w:r>
        <w:t>Als leidensangepa sst erachtete Dr. Y.___ (vorstehend E. 3. 7 ) für die linke Hand nur sehr leichte Tätigkeiten, ohne repetitive Umwendbewegungen , ohne festes Zupacken mit einem Gewichtslimit von 5 kg ,</w:t>
      </w:r>
    </w:p>
    <w:p>
      <w:r>
        <w:t>als zumutbar. A ls Hilfshand lasse sich die ( adominante ) linke Hand sehr gut einsetzen. Z u vermeiden seien Tätig keiten, die höhere Ansprüche an die Feinmotorik der linken Hand stell t en , mit dem Besteigen von Leitern und Gerüsten verbunden e Tätigkeiten und solche an stossenden, schlage nden und vibrierenden Maschinen.</w:t>
      </w:r>
    </w:p>
    <w:p>
      <w:r>
        <w:t>Indem Dr. Y.___ - und mit ihm die Beschwerdegegnerin - eine volle Arbeitsfä higkeit in leidensangepasster Tätigkeit erst ab Mitte Februar 2019 als gegeben erachtete , trug er dem Umstand Rechnung, dass bis dahin bezüglich der linken Hand noch mannigfache therapeutische Bemühungen unternommen worden waren , und gewichtete dies offenbar höher als den Umstand, dass ein annähernd gleiches Anforderungsprofil wie im Februar 2019 von ihm schon im Juli 2017 formuliert worden war (vorstehend E. 3.4). Der Plausibilität der erfolgten Ein schätzung tut dies keinen Abbruch.</w:t>
      </w:r>
    </w:p>
    <w:p>
      <w:r>
        <w:t>Ebenfalls unbehelflich ist der Versuch, Dr. Y.___ mangelnde Objektivität anzu lasten, dies mit Hinweis darauf, dass er «Vertrauensarzt SGV» ist . Dabei handelt es sich um einen Fähigkeitsausweis, der von der S chweizerische n Gesellschaft der Vertrauens- und Versicherungsärzte</w:t>
      </w:r>
    </w:p>
    <w:p>
      <w:r>
        <w:t>(SGV ) nach Absolvieren des entsprechenden Lehrgangs ausgestellt wird (siehe http://www.vertrauensaerzte.ch); mit dem Schweizerischen Gewerbeverband hat dies entgegen der Annahme des Beschwer deführers ( Urk. 1 S. 8 f. lit . k) nichts zu tun.</w:t>
      </w:r>
    </w:p>
    <w:p>
      <w:r>
        <w:t>Zusammenfassend bleibt festzuhalten, dass die Annahme einer vollen Arbeitsfä higkeit in - näher umschriebenen - leidensangepassten Tätigkeiten ab Februar 2019 auf nachvollziehbar und überzeugend begründeten ärztlichen Beurteilun gen beruht, welche den in der Beschwerde richtig wiedergegebenen praxisgemäs sen Anforderungen ( Urk. 1 S. 5 lit . d) vollumfänglich genügen.</w:t>
      </w:r>
    </w:p>
    <w:p>
      <w:r>
        <w:t>Der medizinische Sachverhalt ist vollständig entscheidreif abgeklärt und es steht zweifelsfrei fest, inwiefern die gesundheitlichen Beeinträchtigungen die Arbeits fähigkeit des Beschwerdeführers in angepassten Tätigkeiten tangieren. Vor die sem Hintergrund ist nicht ersichtlich, inwiefern noch ein - zudem polydisziplinä res - Gutachten erforderlich sein könnte. Der entsprechende Antrag ( Urk. 1 S. 2 Ziff. II) ist unbegründet. 4. 5</w:t>
      </w:r>
    </w:p>
    <w:p>
      <w:r>
        <w:t>Dass der Beschwerdeführer vor dem Unfall einen rel ativ tiefen Lohn erzielte (Urk. 1 S.</w:t>
      </w:r>
    </w:p>
    <w:p>
      <w:r>
        <w:rPr>
          <w:b/>
        </w:rPr>
        <w:t>E. 12</w:t>
      </w:r>
    </w:p>
    <w:p>
      <w:r>
        <w:t>lit . h), liegt daran, dass er in einem Wirtschaftszweig mit notorisch tiefem Lohnniveau tätig war, und nicht daran, dass sein Lohn deutlich tiefer gewesen wäre als der Medianlohn der Branche. Die Beschwerdegegnerin hat somit zur Bestimmung des Valideneinkommens zu Recht darauf abgestellt.</w:t>
      </w:r>
    </w:p>
    <w:p>
      <w:r>
        <w:t>Weitere vom Beschwerdeführer angeführte, bei der Bestimmung des Invaliden einkommens angeblich zu Unrecht nicht berücksichtigte Umstände wie schlechte Sprachkenntnisse, fehlende berufliche Ausbildung und sein Alter (Urk. 1 S.</w:t>
      </w:r>
    </w:p>
    <w:p>
      <w:r>
        <w:rPr>
          <w:b/>
        </w:rPr>
        <w:t>E. 15</w:t>
      </w:r>
    </w:p>
    <w:p>
      <w:r>
        <w:t>lit . n ) , sind nachgerade Klassiker der invaliditätsfremden Gründe, die zwar ein erwerbliches Handicap darstellen, für die aber die Unfall versicherung gerade nicht einzustehen hat (vgl. BGE 107 V 17 E. 2c).</w:t>
      </w:r>
    </w:p>
    <w:p>
      <w:r>
        <w:t>Dass die dem Beschwerdeführer attestierte Arbeitsfähigkeit auf dem allgemeinen Arbeitsmarkt nicht verwertbar sein sollte ( Urk. 1 S. 13 f. lit . k ff.), ist eine Behauptung, welche die Bedeutung des - beschwerdeweise durchaus erwähnten - ausgeglichenen Arbeitsmarkts (vorstehend E. 1.7) verkennt, weshalb sie nicht zu überzeugen vermag, dies insbesondere, da gemäss ständige r Rec htsprechung des Bundesgerichts sogar Personen, die funktionell als Einarmige zu betrachten sind und nur noch leichte Arbeit verrichten können, auf dem ausgeglichenen Arbeits markt genügend realistische Betätigungsmöglichkeiten zur Verfügung stehen (Urteil e</w:t>
      </w:r>
    </w:p>
    <w:p>
      <w:r>
        <w:t>8C_744/2017 vom 1 4. Mai 2018 E. 5.1, 8C_31/2017 vom 3 0. März 2017 E. 6.2 ) .</w:t>
      </w:r>
    </w:p>
    <w:p>
      <w:r>
        <w:t>Die Beschwerdegegnerin hat vom Tabellenlohn einen Abzug von 10 % vorge nommen ( Urk. 10/A139). Gründe für einen vom Beschwerdeführer darüber hinaus geltend gemachte n Abzu g ( Urk. 1 S. 15</w:t>
      </w:r>
    </w:p>
    <w:p>
      <w:r>
        <w:t>lit . n ) sind nicht ersichtlich, hat doch das Bundesgericht etwa im Fall einer vermindert en Belastbarkeit des linken adomi na n ten Arms mit voller Arbeitsfähigkeit i n einer angepassten Tätigkeit festgehal ten, dass d iese auf d em ausgeglichenen Arbeitsmarkt durchaus realisiert werden könne, so in Kontroll- und Überwachungstätigkeiten oder auch leichte n, auf Tischhöhe ausgeübt en Montagearbeiten, und hat gar keinen Abzug zugelassen, da das einge schränkte Belastbarkeitsprofil nicht mit einer faktischen Einarmigkeit zu vergleichen sei (Urteil 9C_238/2018 vom 3 0. April 2018 E. 5.2) . Vor diesem Hintergrund erweist sich der von der Beschwerdegegnerin vorgenommene Abzug von 10 % als durchaus angemessen. 4. 6</w:t>
      </w:r>
    </w:p>
    <w:p>
      <w:r>
        <w:t>Die Integritätseinbusse wurde v on Dr. Y.___ mit 15 % beziffer t.</w:t>
      </w:r>
    </w:p>
    <w:p>
      <w:r>
        <w:t>Er ging dabei vom Referenzwert von 50 % für die völlige Gebrauchsunfähigkeit eines Armes aus (vorstehen d E. 3. 7 ). Berücksichtigt man, dass beim Beschwerdeführer keines wegs der ganze Arm völlig gebrauchsunfähig, sondern die Verwendbarkeit der Hand in näher genannter Weise beeinträchtig t ist, so erweist sich die Beurteilung durch Dr. Y.___ als nachvollziehbar. Was beschwerdeweise dagegen eingewen det wurde ( Urk. 1 S. 15 f. lit . p) , ist mangels fachlich-medizinischer Abstützung nicht stichhaltig. 4. 7</w:t>
      </w:r>
    </w:p>
    <w:p>
      <w:r>
        <w:t>Zusammenfassend ist festzuhalten, dass die vom Beschwerdeführer gegen den angefochtenen Entscheid erhobenen Einwände nicht durchzudringen vermögen. Dieser erweist sich vielmehr als rechtens und ist zu bestätigen, was zur Abwei sung der dagegen erhobenen Beschwerde führt. Das Gericht erkennt: 1.</w:t>
      </w:r>
    </w:p>
    <w:p>
      <w:r>
        <w:t>Die Beschwerde wird abgewiesen. 2.</w:t>
      </w:r>
    </w:p>
    <w:p>
      <w:r>
        <w:t>Das Verfahren ist kostenlos. 3.</w:t>
      </w:r>
    </w:p>
    <w:p>
      <w:r>
        <w:t>Zustellung gegen Empfangsschein an: - Rechtsanwalt Rajeevan</w:t>
      </w:r>
    </w:p>
    <w:p>
      <w:r>
        <w:t>Linganathan , unter Beilage des Doppels von Urk.</w:t>
      </w:r>
    </w:p>
    <w:p>
      <w:r>
        <w:rPr>
          <w:b/>
        </w:rPr>
        <w:t>E. 19</w:t>
      </w:r>
    </w:p>
    <w:p>
      <w:r>
        <w:t>- Rechtsanwältin Anna Menzi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