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UV.2020.00185 vom 3. September 2021</w:t>
      </w:r>
    </w:p>
    <w:p>
      <w:r>
        <w:t>ZH Sozialversicherungsgericht, 2021-09-03, DE</w:t>
      </w:r>
    </w:p>
    <w:p>
      <w:r>
        <w:rPr>
          <w:b/>
        </w:rPr>
        <w:t xml:space="preserve">Quelle: </w:t>
      </w:r>
      <w:r>
        <w:t>https://mcp.opencaselaw.ch/entscheid/zh_sozialversicherungsgericht_UV.2020.00185</w:t>
      </w:r>
    </w:p>
    <w:p>
      <w:r>
        <w:t>FR: ZH_SOZIALVERSICHERUNGSGERICHT UV.2020.00185 du 3 septembre 2021</w:t>
      </w:r>
    </w:p>
    <w:p>
      <w:r>
        <w:t>IT: ZH_SOZIALVERSICHERUNGSGERICHT UV.2020.00185 del 3 settembre 2021</w:t>
      </w:r>
    </w:p>
    <w:p>
      <w:pPr>
        <w:pStyle w:val="Heading2"/>
      </w:pPr>
      <w:r>
        <w:t>Erwägungen</w:t>
      </w:r>
    </w:p>
    <w:p>
      <w:r>
        <w:rPr>
          <w:b/>
        </w:rPr>
        <w:t>E. 5</w:t>
      </w:r>
    </w:p>
    <w:p>
      <w:r>
        <w:t>.3</w:t>
      </w:r>
    </w:p>
    <w:p>
      <w:r>
        <w:t>Zusammenfassend ergeben sie keine begründeten Zweifel an den Beurteilungen der Kreisärztin. Von weiteren Abklärungen, wie vom Beschwerdeführer gefordert, sind keine zusätzlichen Erkenntnisse zu erwarten, weshalb darauf in antizipierter Beweiswürdigung (vgl. BGE 122 V 157 E. 1d mit Hinwiesen) zu verzichten ist. Mithin ist davon auszugehen, dass der Beschwerdeführer jedenfalls seit Juli 2019 (Zeitpunkt Rentenprüfung) im mittleren Alter in einer – näher umschriebenen - leidensangepassten Verweistätigkeit voll arbeitsfähig wäre.</w:t>
      </w:r>
    </w:p>
    <w:p>
      <w:r>
        <w:rPr>
          <w:b/>
        </w:rPr>
        <w:t>E. 5.1</w:t>
      </w:r>
    </w:p>
    <w:p>
      <w:r>
        <w:t>Zur Beurteilung der Arbeitsfähigkeit stützte sich die Beschwerdegegnerin mass geblich auf die kreisärztliche Untersuchung vom 2 0. Juni 2019 (E. 3.12 ) . Unbe stritten und aufgrund der medizinischen Akten fest stehend ist , dass dem Be schwerdeführer die angestammte Tätigkeit als Buschauffeur unfallbedingt nicht mehr zumutbar ist . Zu prüfen ist somit , ob und in welchem Umfang der Be schwerdeführer im mittleren Alter in einer angepassten Tätigkeit arbeits- bzw. leistungsfähig wäre .</w:t>
      </w:r>
    </w:p>
    <w:p>
      <w:r>
        <w:rPr>
          <w:b/>
        </w:rPr>
        <w:t>E. 6</w:t>
      </w:r>
    </w:p>
    <w:p>
      <w:r>
        <w:t>.5</w:t>
      </w:r>
    </w:p>
    <w:p>
      <w:r>
        <w:t>Wird das Valideneinkommen von rund Fr. 88‘455.-- dem Invalideneinkommen von rund Fr. 64‘612.-- gegenübergestellt, ergibt sich nach dem Gesagten der von der Beschwerdegegnerin ermittelte Invaliditätsgrad von 27 % .</w:t>
      </w:r>
    </w:p>
    <w:p>
      <w:r>
        <w:rPr>
          <w:b/>
        </w:rPr>
        <w:t>E. 7</w:t>
      </w:r>
    </w:p>
    <w:p>
      <w:r>
        <w:t>.6</w:t>
      </w:r>
    </w:p>
    <w:p>
      <w:r>
        <w:t>Damit ist gestützt auf die kreisärztliche Beurteilung davon auszugehen, dass hin sichtlich der als unfallkausal anzuerkennenden Schädigungen die Erheblichkeits grenze für eine Integritätsentschädigung nicht erreicht ist.</w:t>
      </w:r>
    </w:p>
    <w:p>
      <w:r>
        <w:rPr>
          <w:b/>
        </w:rPr>
        <w:t>E. 8</w:t>
      </w:r>
    </w:p>
    <w:p>
      <w:r>
        <w:t>.</w:t>
      </w:r>
    </w:p>
    <w:p>
      <w:r>
        <w:t>Nach diesen Erwägungen sind hinsichtlich der Folgen des Unfalles vom 1 3. Juli 2016 weder eine höhere Invalidenrente noch eine Integritätsentschädigung ge schuldet, weshalb die Beschwerde insgesamt abzuweisen ist. Das Gericht erkennt: 1.</w:t>
      </w:r>
    </w:p>
    <w:p>
      <w:r>
        <w:t>Die Beschwerde wird abgewiesen. 2.</w:t>
      </w:r>
    </w:p>
    <w:p>
      <w:r>
        <w:t>Das Verfahren ist kostenlos. 3.</w:t>
      </w:r>
    </w:p>
    <w:p>
      <w:r>
        <w:t>Zustellung gegen Empfangsschein an: - Rechtsanwalt Dr. iur . André Largier - Rechtsanwalt Christian Leupi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