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UV.2020.00157 vom 12. März 2021</w:t>
      </w:r>
    </w:p>
    <w:p>
      <w:r>
        <w:t>ZH Sozialversicherungsgericht, 2021-03-12, DE</w:t>
      </w:r>
    </w:p>
    <w:p>
      <w:r>
        <w:rPr>
          <w:b/>
        </w:rPr>
        <w:t xml:space="preserve">Quelle: </w:t>
      </w:r>
      <w:r>
        <w:t>https://mcp.opencaselaw.ch/entscheid/zh_sozialversicherungsgericht_UV.2020.00157</w:t>
      </w:r>
    </w:p>
    <w:p>
      <w:r>
        <w:t>FR: ZH_SOZIALVERSICHERUNGSGERICHT UV.2020.00157 du 12 mars 2021</w:t>
      </w:r>
    </w:p>
    <w:p>
      <w:r>
        <w:t>IT: ZH_SOZIALVERSICHERUNGSGERICHT UV.2020.00157 del 12 marzo 2021</w:t>
      </w:r>
    </w:p>
    <w:p>
      <w:pPr>
        <w:pStyle w:val="Heading2"/>
      </w:pPr>
      <w:r>
        <w:t>Erwägungen</w:t>
      </w:r>
    </w:p>
    <w:p>
      <w:r>
        <w:rPr>
          <w:b/>
        </w:rPr>
        <w:t>E. 1</w:t>
      </w:r>
    </w:p>
    <w:p>
      <w:r>
        <w:t>X.___ , geboren 1982, war seit dem 1 1. Oktober 2013 als Gartenbauarbeiter für die</w:t>
      </w:r>
    </w:p>
    <w:p>
      <w:r>
        <w:t>Y.___ GmbH tätig und dadurch bei der Suva obligatorisch gegen die Folgen von Unfällen versichert. Am</w:t>
      </w:r>
    </w:p>
    <w:p>
      <w:r>
        <w:rPr>
          <w:b/>
        </w:rPr>
        <w:t>E. 1.1</w:t>
      </w:r>
    </w:p>
    <w:p>
      <w:r>
        <w:t>Gemäss Art. 6 Abs. 1 des Bundesgesetzes über die Unfallversicherung (UVG) wer den – soweit das Gesetz nichts anderes bestimmt – die Versicherungs leis tungen bei Berufsunfällen, Nichtberufsunfällen und Berufskrankheiten gewährt. Die Leistungspflicht des Unfallversicherers setzt voraus, dass zwischen dem ver si cherten Ereignis und dem eingetretenen Schaden (Invalidität, Integritätsein busse ) ein natürlicher und ein adäquater Kausalzusammenhang besteht (BGE 129 V 181 E. 3.1-2 mit Hinweisen).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 kommen ). 1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Die bundesgerichtliche Rechtsprechung schliesst nicht aus, dass auch bei Erwerbs tätigen unter Umständen nicht auf das zuletzt erzielte Einkommen abge stellt wird. Das trifft bei selbstständig Erwerbenden dann zu, wenn aufgrund der Umstände mit überwiegender Wahrscheinlichkeit anzunehmen ist, dass der Ver sicherte im Gesundheitsfall seine nicht einträgliche selbstständige Tätigkeit auf gegeben und eine besser entlöhnte andere Tätigkeit angenommen hätte , oder dann, wenn die vor der Gesundheitsbeeinträchtigung ausgeübte selbstständige Tätigkeit wegen ihrer kurzen Dauer keine genügende Grundlage für die Bestim mung des Valideneinkommens darstellt, zumal in den ersten Jahren nach Auf nahme der selbstständigen Erwerbstätigkeit üblicherweise aus verschiedenen Gründen (hohe Abschreibungsquote auf Neuinvestitionen etc.) die Betriebsge winne gering sind ( BGE 135 V 58 E.</w:t>
      </w:r>
    </w:p>
    <w:p>
      <w:r>
        <w:t>3.4.6 mit Hinweisen ; vgl. auch</w:t>
      </w:r>
    </w:p>
    <w:p>
      <w:r>
        <w:t>Ur teile des Bundesgerichts 8C_832/2019, 8C_3/2020 vom 5. Mai 2020 E. 6.1, 8C_53/2019 vom 9. Mai 2019 E. 6.2.1).</w:t>
      </w:r>
    </w:p>
    <w:p>
      <w:r>
        <w:rPr>
          <w:b/>
        </w:rPr>
        <w:t>E. 1.4</w:t>
      </w:r>
    </w:p>
    <w:p>
      <w:r>
        <w:t>dargelegt, besteht im gegenseitigen Verhältnis zwischen Invaliden- und Unfallversicherung keine Bindungswirkung der Invaliditätsschätzung des einen Versicherers für den jeweils anderen Sozialversicherungszweig. Die IV-Stelle stellte im Wesentlichen einzig auf die Lohnangaben des Beschwerdeführers ab, ohne eine Überprüfung m ittels des IK-Auszug s vorzunehmen.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w:t>
      </w:r>
    </w:p>
    <w:p>
      <w:r>
        <w:t>4. März 2018 verletzte sich der Versicherte bei der Arbeit am linken Handgelenk (Scha denmeldung UVG vom 3 0. April 2018, Urk. 9/1).</w:t>
      </w:r>
    </w:p>
    <w:p>
      <w:r>
        <w:t>In der Folge wurde er im Spital Z.___ mehrfach am linken Handgelenk</w:t>
      </w:r>
    </w:p>
    <w:p>
      <w:r>
        <w:t>operiert ( Urk. 9/173/2-</w:t>
      </w:r>
    </w:p>
    <w:p>
      <w:r>
        <w:rPr>
          <w:b/>
        </w:rPr>
        <w:t>E. 2.1</w:t>
      </w:r>
    </w:p>
    <w:p>
      <w:r>
        <w:t>Die Beschwerdegegnerin begründete den ange fochtenen Entscheid damit, dass dem Beschwerdeführer die bisherige Tätigkeit im Gartenbau unfallbedingt nicht mehr möglich sei . Eine angepasste Tätigkeit sei ihm aber in einem 100%-Pensum zumutbar. Vergleiche man den Validenlohn von Fr. 76'962.30 mit dem unter Berücksichtigung eines leidensbedingten Abzugs von 10 % ermittelten Invali denlohn von Fr. 61'601.45, ergebe sich ein Invaliditätsgrad von aufgerundet 20 % (Urk. 2 S. 6 ff.).</w:t>
      </w:r>
    </w:p>
    <w:p>
      <w:r>
        <w:rPr>
          <w:b/>
        </w:rPr>
        <w:t>E. 2.2</w:t>
      </w:r>
    </w:p>
    <w:p>
      <w:r>
        <w:t>Der Beschwerdeführer machte demgegenüber geltend, dass die Sozialversiche rungsanstalt des Kantons Zürich, IV-Stelle , in der Verfügung vom 2 4. Juni 2020 im Rahmen des Einkommensvergleichs ein Valideneinkommen von Fr. 89‘356.90 und ein Invalideneinkommen von Fr. 61‘274.-- ermittelt habe. Demgemäss ergebe sich eine Erwerbseinbusse respektive ein Invaliditätsgrad von 31 % .</w:t>
      </w:r>
    </w:p>
    <w:p>
      <w:r>
        <w:t>Das von der</w:t>
      </w:r>
    </w:p>
    <w:p>
      <w:r>
        <w:t>Beschwerdegegnerin errechnete Valideneinkommen sei nicht korrekt ( Urk. 1).</w:t>
      </w:r>
    </w:p>
    <w:p>
      <w:r>
        <w:rPr>
          <w:b/>
        </w:rPr>
        <w:t>E. 2.3</w:t>
      </w:r>
    </w:p>
    <w:p>
      <w:r>
        <w:t>Streitig und zu prüfen ist somit der Rentena nspruch des Be schwerdeführers.</w:t>
      </w:r>
    </w:p>
    <w:p>
      <w:r>
        <w:rPr>
          <w:b/>
        </w:rPr>
        <w:t>E. 3</w:t>
      </w:r>
    </w:p>
    <w:p>
      <w:r>
        <w:t>Auf die Vorbringen der Parteien und die eingereichten Akten wird, soweit erfor derlich, im Rahmen der nachfolgenden Erwägungen eingegangen. Das Gericht zieht in Erwägung: 1.</w:t>
      </w:r>
    </w:p>
    <w:p>
      <w:r>
        <w:rPr>
          <w:b/>
        </w:rPr>
        <w:t>E. 3.1</w:t>
      </w:r>
    </w:p>
    <w:p>
      <w:r>
        <w:t>Kreisärztin A.___ stellte i m Bericht zur Untersuchung vom 8. Januar 2020 folgende Diagnosen ( Urk. 9/173/7):</w:t>
      </w:r>
    </w:p>
    <w:p>
      <w:r>
        <w:t>s tark ausgeprägte Belastungsintoleranz der linken Hand bei: - Status nach skapholunärer Bandläsion Handgelenk links vom 2 4. März 2018 - Status nach diagnostischer Ar t hroskopie Handgelenk links vom 3 0. Juli 2018 - Status nach skapholunärer Bandr ekonstruktion nach Garcia- Elias Handgelenk links vom 1 2. September 2018 - Status nach Phlegmone rückseitig Hand und Handgelenk links nach Ba ndrekon struktion mit mehrmaligem</w:t>
      </w:r>
    </w:p>
    <w:p>
      <w:r>
        <w:t>Débridement - Status nach Débridement und Deckung des Weichteildefekts dorsalseitige Hand links mit einem Posterior - Interosseus -Lappen vom 8. Oktober 2018 und Lappenrevision bei venöser Stauung mit aktiver Blutung Handrücken vom 9. Oktober 2018 Kreisärztin A.___ erklärte, dass dem Beschwerdeführer aufgrund der deutlich eingeschränkten Beweglichkeit der linken Hand die angestammte schwere manuelle Tätigkeit nicht mehr zumutbar sei. Für die linke Hand seien wiederholt kräftiges Zupacken, kraftvolle, repetitive Handgelenksbewegungen, andauernde differenzierte feinmotorische und hämmernde/vibrierende Tätigkeiten nicht mehr möglich . Eine leichte Arbeit sei für die linke Hand ganztags zumutbar. Beidarmig sei eine leichte bis zeitweise mittelschwere Tä tigkeit ganztags zumutbar (Urk. 9/173/8).</w:t>
      </w:r>
    </w:p>
    <w:p>
      <w:r>
        <w:rPr>
          <w:b/>
        </w:rPr>
        <w:t>E. 3.2</w:t>
      </w:r>
    </w:p>
    <w:p>
      <w:r>
        <w:t>Diese Beurteilung von Kreisärztin A.___</w:t>
      </w:r>
    </w:p>
    <w:p>
      <w:r>
        <w:t>ist angesichts der genannten Befunde sowie der dazugehörigen Erläuterungen nachvollziehbar. Sie wurde vom Beschwerdeführer auch nicht in Zweifel gezogen (vgl. Urk. 1). Es kann deshalb darauf abgestellt werden.</w:t>
      </w:r>
    </w:p>
    <w:p>
      <w:r>
        <w:rPr>
          <w:b/>
        </w:rPr>
        <w:t>E. 4</w:t>
      </w:r>
    </w:p>
    <w:p>
      <w:r>
        <w:t>.4</w:t>
      </w:r>
    </w:p>
    <w:p>
      <w:r>
        <w:t>Bei einem Valideneinkommen von Fr. 76'948.75</w:t>
      </w:r>
    </w:p>
    <w:p>
      <w:r>
        <w:t>und einem Invalideneinkom men von Fr. 61‘530.80 ergibt sich eine Erwerbseinbusse von Fr. 15‘ 417.95 und damit ein Invaliditätsg rad von 20 % ( Fr. 15‘417.95 : Fr. 76'948.75 ).</w:t>
      </w:r>
    </w:p>
    <w:p>
      <w:r>
        <w:rPr>
          <w:b/>
        </w:rPr>
        <w:t>E. 4.1</w:t>
      </w:r>
    </w:p>
    <w:p>
      <w:r>
        <w:t>Streitig und zu prüfen ist, wie sich die eingeschränkte Leistungsfähigkeit des Beschwerdeführers in wirtschaftlicher Hinsicht auswirkt.</w:t>
      </w:r>
    </w:p>
    <w:p>
      <w:r>
        <w:rPr>
          <w:b/>
        </w:rPr>
        <w:t>E. 4.3</w:t>
      </w:r>
    </w:p>
    <w:p>
      <w:r>
        <w:t>Da dem Beschwerdeführer di e bisherige Tätigkeit als Gartenbauarbeiter nicht mehr zumutbar ist, sind aufseiten des Invalideneinkommens die Tabellenlöhne gemäss der Schweizerische n Lohnstrukturerhebung heranzuzieh en (LSE 2018, TA1_tirage_skill_level,</w:t>
      </w:r>
    </w:p>
    <w:p>
      <w:r>
        <w:t>Kompetenzniveau 1, Männ er ).</w:t>
      </w:r>
    </w:p>
    <w:p>
      <w:r>
        <w:t>Unter Berücksichti - gung der durchschnittlichen betriebsüblichen wöchentlich en Arbeitszeit von</w:t>
      </w:r>
    </w:p>
    <w:p>
      <w:r>
        <w:t>41,7 Stunden (vgl. Bundesamt für Statistik, betriebsübliche Arbeitszeit nach Wirt schaftsabteilungen, 1990 bis 2018, T 03.02.03.01.04.01) und der Nominal - lohn entwicklung bis ins Jahr 2019 (vgl. Bundesamt für Statistik, Nominal - lohnindex , Männer, 2016-2019 , T1.1.15, Total ) resultiert daher ein Einkommen von Fr. 68‘3 67.55 ( Fr. 5‘417.-- x 12 : 40 x 41,7 : 101.5 x 102.4 ). G ewährt man hiervon den von der Beschwerdegegnerin vorgenommenen und ebenfalls nicht zu bean standen d en 10%igen Abzug für die l ei densbedingten Einschränkungen</w:t>
      </w:r>
    </w:p>
    <w:p>
      <w:r>
        <w:t>des Beschwerdeführers (vg l. dazu BGE 126 V 75 E. 5a/ bb ) , beläuft sich das Invali deneinkommen auf</w:t>
      </w:r>
    </w:p>
    <w:p>
      <w:r>
        <w:t>Fr. 61‘ 530.80 ( Fr. 68‘3 67.55 x 0,9) .</w:t>
      </w:r>
    </w:p>
    <w:p>
      <w:r>
        <w:rPr>
          <w:b/>
        </w:rPr>
        <w:t>E. 4.5</w:t>
      </w:r>
    </w:p>
    <w:p>
      <w:r>
        <w:t>Aus dem Umstand, dass die IV-Stelle</w:t>
      </w:r>
    </w:p>
    <w:p>
      <w:r>
        <w:t>in der Verfügung vom 2 4. Juni 2020 (Urk. 3, vgl. auch Urk.</w:t>
      </w:r>
    </w:p>
    <w:p>
      <w:r>
        <w:rPr>
          <w:b/>
        </w:rPr>
        <w:t>E. 8</w:t>
      </w:r>
    </w:p>
    <w:p>
      <w:r>
        <w:t>) einen Invaliditätsgrad von 31 % ermittelte, kann der Beschwerdeführer nichts zu seinen Gu nsten ableiten. Wie unter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