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UV.2020.00121 vom 6. März 2021</w:t>
      </w:r>
    </w:p>
    <w:p>
      <w:r>
        <w:t>ZH Sozialversicherungsgericht, 2021-03-06, DE</w:t>
      </w:r>
    </w:p>
    <w:p>
      <w:r>
        <w:rPr>
          <w:b/>
        </w:rPr>
        <w:t xml:space="preserve">Quelle: </w:t>
      </w:r>
      <w:r>
        <w:t>https://mcp.opencaselaw.ch/entscheid/zh_sozialversicherungsgericht_UV.2020.00121</w:t>
      </w:r>
    </w:p>
    <w:p>
      <w:r>
        <w:t>FR: ZH_SOZIALVERSICHERUNGSGERICHT UV.2020.00121 du 6 mars 2021</w:t>
      </w:r>
    </w:p>
    <w:p>
      <w:r>
        <w:t>IT: ZH_SOZIALVERSICHERUNGSGERICHT UV.2020.00121 del 6 marzo 2021</w:t>
      </w:r>
    </w:p>
    <w:p>
      <w:pPr>
        <w:pStyle w:val="Heading2"/>
      </w:pPr>
      <w:r>
        <w:t>Erwägungen</w:t>
      </w:r>
    </w:p>
    <w:p>
      <w:r>
        <w:rPr>
          <w:b/>
        </w:rPr>
        <w:t>E. 1</w:t>
      </w:r>
    </w:p>
    <w:p>
      <w:r>
        <w:t>X.___ , geboren 1980, war seit dem 1 7. Juni 2013 als Betriebsmit arbeiter bei der Y.___ AG angestellt und in dieser Eigenschaft bei der Suva gegen Berufs- und Nichtberufsunfälle versichert. Am 1. November 2015 rutschte er im Treppenhaus aus und stürzte (Schadenmeldung UVG vom 5. November 2015 , Urk. 8/1 ). Die Erstbehandlung erfol gte i m Spital Z.___ am 2. November 201 5. Die Ärzte diagnostizierten eine Distorsion des oberen Sprunggelenkes links, legten einen Acrylastverband an und verordneten Stockentlastung und Throm boseprophylaxe ( Urk. 8/21). Im Verlauf zeigte sich eine traumatische Peroneal sehnenluxation mit unklarem synovialem Tumor, differentialdiagnostisch eine Synovialitis links mit Rückfussdistorsion vom 2. November 2015, welche am 8. Februar 2016 operativ versorgt wurde (Austrittsbericht Spital Z.___ vom 1 2. Februar 2016, Urk. 8/25). Die Suva trat auf den Schaden ein und erbrachte die gesetzlichen Leistungen. Mit Verfügung vom 2 2. April 2016 stellte die Suva ihre Leistungen per 8. Februar 2016 ein mit der Begründung, dass sich der Status quo sine spätestens 2 Wochen nach dem Unfall eingestellt habe ( Urk. 8/36). Nach dem der Versicherte hiergegen Einsprache erhoben hatte ( Urk. 8/48), tätigte die Suva weitere Abklärungen (vgl. hierzu Mail vom 2 8. November 2016, Urk. 8/72) und zog mit Schreiben vom 1 9. April 2017 die Verfügung vom 2 2. April 2016 zurück und erbrachte weiterhin die gesetzlichen Leistungen ( Urk. 8/102). Die Suva tätigte daraufhin weitere medizinische und erwerbliche Abklärungen.</w:t>
      </w:r>
    </w:p>
    <w:p>
      <w:r>
        <w:t>Mit Unfallmeldung vom 3 1. Juli 2019 wurde der Suva angezeigt, dass der Versi cherte am 1 1. Juli 2019 beim Joggen gestolpert sei und sich den Zahn dabei gestossen habe, so dass dieser abgebrochen sei ( Urk. 8/323/18).</w:t>
      </w:r>
    </w:p>
    <w:p>
      <w:r>
        <w:t>Mit Verfügung vom 3 0. September 2019 führte die Suva aus, aufgrund des neuen gemeldeten Ereignisses vom 1 1. Juli 2019 sei davon auszugehen, dass spätestens ab diesem Datum eine Arbeitsunfähigkeit nicht mehr ausgewiesen gewesen sei, weshalb sich das Auszahlen von Taggeldern über den 1 1. Juli 2019 hinaus als falsch herausgestellt habe und diese in Höhe von Fr. 6'669.-- demnach zurück zuerstatten seien ( Urk. 8/317). Hiergegen erhob der Versicherte am 1. Oktober 2019 Einsprache ( Urk. 8/320) .</w:t>
      </w:r>
    </w:p>
    <w:p>
      <w:r>
        <w:t>Mit Verfügung vom 1 1. Oktober 2019 kam die Suva auf ihre Verfügung vom 3 0. September 2019 zurück und konstatierte , dass</w:t>
      </w:r>
    </w:p>
    <w:p>
      <w:r>
        <w:t>von weiteren Behandlungs massnahmen keine namhafte Verbesserung des Gesundheitszustandes am linken Fuss mehr zu erwarten und dem Versicherte n aufgrund des körperlich einge schränkten Belastungsprofils die angestammte Arbeit nicht mehr zumutbar sei, es ihm aber möglich sei, in einer angepassten Tätigkeit ein gleich hohes Einkom men zu erzielen. Entsprechend liege keine unfallbedingt e Einschränkung der Erwerbsfähigkeit vor. Die psychogenen Störungen seien nicht adäquat kausal zu den obgenannten Ereignissen, so dass die Suva dafür nicht einzustehen habe. Eine erhebliche Schädigung der körperlichen Integrität liege nicht vor, womit die</w:t>
      </w:r>
    </w:p>
    <w:p>
      <w:r>
        <w:t>Voraussetzungen für eine Integritätsentschädigung nicht gegeben seien ( Urk. 8/327). Der Versicherte erhob hiergegen am 5. November 2019 Einsprache ( Urk. 8/331, ergänzende Einsprachebegründung vom 5. November 2019, Urk. 8/332).</w:t>
      </w:r>
    </w:p>
    <w:p>
      <w:r>
        <w:t>Mit Einspracheentscheid vom 1 4. April 2020 betreffend die Verfügungen vom 3 0. September und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